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lang w:eastAsia="zh-CN"/>
        </w:rPr>
        <w:t>园艺园林学院</w:t>
      </w:r>
      <w:r>
        <w:rPr>
          <w:rFonts w:hint="eastAsia"/>
          <w:b/>
          <w:sz w:val="36"/>
          <w:szCs w:val="36"/>
        </w:rPr>
        <w:t>201</w:t>
      </w:r>
      <w:r>
        <w:rPr>
          <w:rFonts w:hint="eastAsia"/>
          <w:b/>
          <w:sz w:val="36"/>
          <w:szCs w:val="36"/>
          <w:lang w:val="en-US" w:eastAsia="zh-CN"/>
        </w:rPr>
        <w:t>9</w:t>
      </w:r>
      <w:r>
        <w:rPr>
          <w:rFonts w:hint="eastAsia"/>
          <w:b/>
          <w:sz w:val="36"/>
          <w:szCs w:val="36"/>
        </w:rPr>
        <w:t>年博士研究生招生综合考核方案</w:t>
      </w:r>
    </w:p>
    <w:p>
      <w:pPr>
        <w:jc w:val="center"/>
        <w:rPr>
          <w:rFonts w:hint="eastAsia"/>
          <w:b/>
          <w:sz w:val="36"/>
          <w:szCs w:val="36"/>
        </w:rPr>
      </w:pPr>
    </w:p>
    <w:p>
      <w:pPr>
        <w:widowControl/>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rPr>
        <w:t>根据《西南大学深化综合改革方案》、《西南大学关于深化研究生教育改革的实施意见》</w:t>
      </w:r>
      <w:r>
        <w:rPr>
          <w:rFonts w:hint="eastAsia" w:ascii="宋体" w:hAnsi="宋体"/>
          <w:sz w:val="28"/>
          <w:szCs w:val="28"/>
          <w:lang w:eastAsia="zh-CN"/>
        </w:rPr>
        <w:t>的要求</w:t>
      </w:r>
      <w:r>
        <w:rPr>
          <w:rFonts w:hint="eastAsia" w:ascii="宋体" w:hAnsi="宋体"/>
          <w:sz w:val="28"/>
          <w:szCs w:val="28"/>
        </w:rPr>
        <w:t>，坚持以科研任务为导向、以人才培养质量为目标、以项目制招生改革为抓手的理念</w:t>
      </w:r>
      <w:r>
        <w:rPr>
          <w:rFonts w:hint="eastAsia" w:ascii="宋体" w:hAnsi="宋体"/>
          <w:sz w:val="28"/>
          <w:szCs w:val="28"/>
          <w:lang w:eastAsia="zh-CN"/>
        </w:rPr>
        <w:t>，特</w:t>
      </w:r>
      <w:r>
        <w:rPr>
          <w:rFonts w:hint="eastAsia" w:ascii="宋体" w:hAnsi="宋体"/>
          <w:sz w:val="28"/>
          <w:szCs w:val="28"/>
        </w:rPr>
        <w:t>制定</w:t>
      </w:r>
      <w:r>
        <w:rPr>
          <w:rFonts w:hint="eastAsia" w:ascii="宋体" w:hAnsi="宋体"/>
          <w:sz w:val="28"/>
          <w:szCs w:val="28"/>
          <w:lang w:eastAsia="zh-CN"/>
        </w:rPr>
        <w:t>我院</w:t>
      </w:r>
      <w:r>
        <w:rPr>
          <w:rFonts w:hint="eastAsia" w:ascii="宋体" w:hAnsi="宋体"/>
          <w:sz w:val="28"/>
          <w:szCs w:val="28"/>
          <w:lang w:val="en-US" w:eastAsia="zh-CN"/>
        </w:rPr>
        <w:t>2019年博士研究生招生</w:t>
      </w:r>
      <w:r>
        <w:rPr>
          <w:rFonts w:hint="eastAsia" w:ascii="宋体" w:hAnsi="宋体"/>
          <w:sz w:val="28"/>
          <w:szCs w:val="28"/>
        </w:rPr>
        <w:t>综合考核方案，</w:t>
      </w:r>
      <w:r>
        <w:rPr>
          <w:rFonts w:hint="eastAsia" w:ascii="宋体" w:hAnsi="宋体"/>
          <w:sz w:val="28"/>
          <w:szCs w:val="28"/>
          <w:lang w:eastAsia="zh-CN"/>
        </w:rPr>
        <w:t>以</w:t>
      </w:r>
      <w:r>
        <w:rPr>
          <w:rFonts w:hint="eastAsia" w:ascii="宋体" w:hAnsi="宋体"/>
          <w:sz w:val="28"/>
          <w:szCs w:val="28"/>
        </w:rPr>
        <w:t>进一步提高博士研究生招生工作的科学性及有效性。</w:t>
      </w:r>
    </w:p>
    <w:p>
      <w:pPr>
        <w:spacing w:line="360" w:lineRule="auto"/>
        <w:rPr>
          <w:rFonts w:hint="eastAsia" w:ascii="宋体" w:hAnsi="宋体"/>
          <w:b/>
          <w:sz w:val="28"/>
          <w:szCs w:val="28"/>
        </w:rPr>
      </w:pPr>
      <w:r>
        <w:rPr>
          <w:rFonts w:hint="eastAsia" w:ascii="宋体" w:hAnsi="宋体"/>
          <w:b/>
          <w:sz w:val="28"/>
          <w:szCs w:val="28"/>
          <w:lang w:eastAsia="zh-CN"/>
        </w:rPr>
        <w:t>一</w:t>
      </w:r>
      <w:r>
        <w:rPr>
          <w:rFonts w:hint="eastAsia" w:ascii="宋体" w:hAnsi="宋体"/>
          <w:b/>
          <w:sz w:val="28"/>
          <w:szCs w:val="28"/>
        </w:rPr>
        <w:t>、</w:t>
      </w:r>
      <w:r>
        <w:rPr>
          <w:rFonts w:hint="eastAsia" w:ascii="宋体" w:hAnsi="宋体"/>
          <w:b/>
          <w:sz w:val="28"/>
          <w:szCs w:val="28"/>
          <w:lang w:eastAsia="zh-CN"/>
        </w:rPr>
        <w:t>组织领导</w:t>
      </w:r>
    </w:p>
    <w:p>
      <w:pPr>
        <w:pStyle w:val="3"/>
        <w:spacing w:before="0" w:beforeAutospacing="0" w:after="0" w:afterAutospacing="0" w:line="360" w:lineRule="auto"/>
        <w:ind w:firstLine="560" w:firstLineChars="200"/>
        <w:rPr>
          <w:rFonts w:hint="eastAsia"/>
          <w:color w:val="auto"/>
          <w:sz w:val="28"/>
          <w:szCs w:val="28"/>
        </w:rPr>
      </w:pPr>
      <w:r>
        <w:rPr>
          <w:rFonts w:hint="eastAsia"/>
          <w:color w:val="auto"/>
          <w:sz w:val="28"/>
          <w:szCs w:val="28"/>
          <w:lang w:val="en-US" w:eastAsia="zh-CN"/>
        </w:rPr>
        <w:t xml:space="preserve"> 1.</w:t>
      </w:r>
      <w:r>
        <w:rPr>
          <w:rFonts w:hint="eastAsia"/>
          <w:color w:val="auto"/>
          <w:sz w:val="28"/>
          <w:szCs w:val="28"/>
        </w:rPr>
        <w:t>博士研究生招生工作领导小组</w:t>
      </w:r>
      <w:r>
        <w:rPr>
          <w:rFonts w:hint="eastAsia"/>
          <w:color w:val="auto"/>
          <w:sz w:val="28"/>
          <w:szCs w:val="28"/>
          <w:lang w:eastAsia="zh-CN"/>
        </w:rPr>
        <w:t>：</w:t>
      </w:r>
      <w:r>
        <w:rPr>
          <w:rFonts w:hint="eastAsia"/>
          <w:color w:val="auto"/>
          <w:sz w:val="28"/>
          <w:szCs w:val="28"/>
        </w:rPr>
        <w:t>全面负责</w:t>
      </w:r>
      <w:r>
        <w:rPr>
          <w:rFonts w:hint="eastAsia"/>
          <w:color w:val="auto"/>
          <w:sz w:val="28"/>
          <w:szCs w:val="28"/>
          <w:lang w:eastAsia="zh-CN"/>
        </w:rPr>
        <w:t>学院博士研究生</w:t>
      </w:r>
      <w:r>
        <w:rPr>
          <w:rFonts w:hint="eastAsia"/>
          <w:color w:val="auto"/>
          <w:sz w:val="28"/>
          <w:szCs w:val="28"/>
        </w:rPr>
        <w:t>录取组织管理工作，同时对治理考场环境、维护考场安全、严肃考风考纪负有主体责任。</w:t>
      </w:r>
    </w:p>
    <w:p>
      <w:pPr>
        <w:pStyle w:val="3"/>
        <w:numPr>
          <w:ilvl w:val="0"/>
          <w:numId w:val="1"/>
        </w:numPr>
        <w:spacing w:before="0" w:beforeAutospacing="0" w:after="0" w:afterAutospacing="0" w:line="360" w:lineRule="auto"/>
        <w:ind w:firstLine="420"/>
        <w:rPr>
          <w:rFonts w:hint="eastAsia"/>
          <w:color w:val="auto"/>
          <w:sz w:val="28"/>
          <w:szCs w:val="28"/>
        </w:rPr>
      </w:pPr>
      <w:r>
        <w:rPr>
          <w:rFonts w:hint="eastAsia"/>
          <w:color w:val="auto"/>
          <w:sz w:val="28"/>
          <w:szCs w:val="28"/>
        </w:rPr>
        <w:t>考核录取工作巡视督查小组</w:t>
      </w:r>
      <w:r>
        <w:rPr>
          <w:rFonts w:hint="eastAsia"/>
          <w:color w:val="auto"/>
          <w:sz w:val="28"/>
          <w:szCs w:val="28"/>
          <w:lang w:eastAsia="zh-CN"/>
        </w:rPr>
        <w:t>：</w:t>
      </w:r>
      <w:r>
        <w:rPr>
          <w:rFonts w:hint="eastAsia"/>
          <w:color w:val="auto"/>
          <w:sz w:val="28"/>
          <w:szCs w:val="28"/>
        </w:rPr>
        <w:t>负责全程巡视监督</w:t>
      </w:r>
      <w:r>
        <w:rPr>
          <w:rFonts w:hint="eastAsia"/>
          <w:color w:val="auto"/>
          <w:sz w:val="28"/>
          <w:szCs w:val="28"/>
          <w:lang w:eastAsia="zh-CN"/>
        </w:rPr>
        <w:t>学院</w:t>
      </w:r>
      <w:r>
        <w:rPr>
          <w:rFonts w:hint="eastAsia"/>
          <w:color w:val="auto"/>
          <w:sz w:val="28"/>
          <w:szCs w:val="28"/>
        </w:rPr>
        <w:t>的考核录取工作</w:t>
      </w:r>
    </w:p>
    <w:p>
      <w:pPr>
        <w:pStyle w:val="3"/>
        <w:spacing w:before="0" w:beforeAutospacing="0" w:after="0" w:afterAutospacing="0" w:line="360" w:lineRule="auto"/>
        <w:ind w:firstLine="420"/>
        <w:rPr>
          <w:rFonts w:hint="eastAsia"/>
          <w:color w:val="auto"/>
          <w:sz w:val="28"/>
          <w:szCs w:val="28"/>
          <w:lang w:val="en-US" w:eastAsia="zh-CN"/>
        </w:rPr>
      </w:pPr>
      <w:r>
        <w:rPr>
          <w:rFonts w:hint="eastAsia"/>
          <w:color w:val="auto"/>
          <w:sz w:val="28"/>
          <w:szCs w:val="28"/>
          <w:lang w:val="en-US" w:eastAsia="zh-CN"/>
        </w:rPr>
        <w:t>3.综合考核小组：</w:t>
      </w:r>
      <w:r>
        <w:rPr>
          <w:rFonts w:hint="eastAsia"/>
          <w:color w:val="auto"/>
          <w:sz w:val="28"/>
          <w:szCs w:val="28"/>
        </w:rPr>
        <w:t>具体负责博士研究生综合考核</w:t>
      </w:r>
      <w:r>
        <w:rPr>
          <w:rFonts w:hint="eastAsia"/>
          <w:color w:val="auto"/>
          <w:sz w:val="28"/>
          <w:szCs w:val="28"/>
          <w:lang w:eastAsia="zh-CN"/>
        </w:rPr>
        <w:t>（笔试、面试）的</w:t>
      </w:r>
      <w:r>
        <w:rPr>
          <w:rFonts w:hint="eastAsia"/>
          <w:color w:val="auto"/>
          <w:sz w:val="28"/>
          <w:szCs w:val="28"/>
        </w:rPr>
        <w:t>各项工作。</w:t>
      </w:r>
    </w:p>
    <w:p>
      <w:pPr>
        <w:spacing w:line="360" w:lineRule="auto"/>
        <w:rPr>
          <w:rFonts w:hint="eastAsia" w:ascii="宋体" w:hAnsi="宋体"/>
          <w:b/>
          <w:sz w:val="28"/>
          <w:szCs w:val="28"/>
          <w:lang w:val="en-US" w:eastAsia="zh-CN"/>
        </w:rPr>
      </w:pPr>
      <w:bookmarkStart w:id="0" w:name="_GoBack"/>
      <w:bookmarkEnd w:id="0"/>
      <w:r>
        <w:rPr>
          <w:rFonts w:hint="eastAsia" w:ascii="宋体" w:hAnsi="宋体"/>
          <w:b/>
          <w:sz w:val="28"/>
          <w:szCs w:val="28"/>
          <w:lang w:val="en-US" w:eastAsia="zh-CN"/>
        </w:rPr>
        <w:t>二、综合考核对象</w:t>
      </w:r>
    </w:p>
    <w:p>
      <w:pPr>
        <w:widowControl/>
        <w:spacing w:line="360" w:lineRule="auto"/>
        <w:ind w:firstLine="420"/>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1.公开招考考生需通过外语水平考试（或达到外语免试资格）和专业基础考试，方可参加学院组织的综合考核。</w:t>
      </w:r>
    </w:p>
    <w:p>
      <w:pPr>
        <w:pStyle w:val="2"/>
        <w:keepNext w:val="0"/>
        <w:keepLines w:val="0"/>
        <w:widowControl/>
        <w:suppressLineNumbers w:val="0"/>
        <w:shd w:val="clear" w:color="auto" w:fill="FFFFFF"/>
        <w:spacing w:before="0" w:beforeAutospacing="0" w:after="0" w:afterAutospacing="0" w:line="360" w:lineRule="auto"/>
        <w:ind w:left="0" w:right="0" w:firstLine="435"/>
        <w:jc w:val="left"/>
        <w:rPr>
          <w:rFonts w:hint="eastAsia" w:ascii="宋体" w:hAnsi="宋体" w:eastAsia="宋体" w:cs="宋体"/>
          <w:color w:val="auto"/>
          <w:kern w:val="0"/>
          <w:sz w:val="28"/>
          <w:szCs w:val="28"/>
          <w:lang w:val="en-US" w:eastAsia="zh-CN" w:bidi="ar-SA"/>
        </w:rPr>
      </w:pPr>
      <w:r>
        <w:rPr>
          <w:rFonts w:hint="eastAsia" w:cs="宋体"/>
          <w:color w:val="auto"/>
          <w:kern w:val="0"/>
          <w:sz w:val="28"/>
          <w:szCs w:val="28"/>
          <w:lang w:val="en-US" w:eastAsia="zh-CN" w:bidi="ar-SA"/>
        </w:rPr>
        <w:t xml:space="preserve"> 2.</w:t>
      </w:r>
      <w:r>
        <w:rPr>
          <w:rFonts w:hint="eastAsia" w:ascii="宋体" w:hAnsi="宋体" w:eastAsia="宋体" w:cs="宋体"/>
          <w:color w:val="auto"/>
          <w:kern w:val="0"/>
          <w:sz w:val="28"/>
          <w:szCs w:val="28"/>
          <w:lang w:val="en-US" w:eastAsia="zh-CN" w:bidi="ar-SA"/>
        </w:rPr>
        <w:t>硕博连读</w:t>
      </w:r>
      <w:r>
        <w:rPr>
          <w:rFonts w:hint="eastAsia" w:cs="宋体"/>
          <w:color w:val="auto"/>
          <w:kern w:val="0"/>
          <w:sz w:val="28"/>
          <w:szCs w:val="28"/>
          <w:lang w:val="en-US" w:eastAsia="zh-CN" w:bidi="ar-SA"/>
        </w:rPr>
        <w:t>考生</w:t>
      </w:r>
      <w:r>
        <w:rPr>
          <w:rFonts w:hint="eastAsia" w:ascii="宋体" w:hAnsi="宋体" w:eastAsia="宋体" w:cs="宋体"/>
          <w:color w:val="auto"/>
          <w:kern w:val="0"/>
          <w:sz w:val="28"/>
          <w:szCs w:val="28"/>
          <w:lang w:val="en-US" w:eastAsia="zh-CN" w:bidi="ar-SA"/>
        </w:rPr>
        <w:t>和</w:t>
      </w:r>
      <w:r>
        <w:rPr>
          <w:rFonts w:hint="eastAsia" w:cs="宋体"/>
          <w:color w:val="auto"/>
          <w:kern w:val="0"/>
          <w:sz w:val="28"/>
          <w:szCs w:val="28"/>
          <w:lang w:val="en-US" w:eastAsia="zh-CN" w:bidi="ar-SA"/>
        </w:rPr>
        <w:t>“</w:t>
      </w:r>
      <w:r>
        <w:rPr>
          <w:rFonts w:hint="eastAsia" w:ascii="宋体" w:hAnsi="宋体" w:eastAsia="宋体" w:cs="宋体"/>
          <w:color w:val="auto"/>
          <w:kern w:val="0"/>
          <w:sz w:val="28"/>
          <w:szCs w:val="28"/>
          <w:lang w:val="en-US" w:eastAsia="zh-CN" w:bidi="ar-SA"/>
        </w:rPr>
        <w:t>申请</w:t>
      </w:r>
      <w:r>
        <w:rPr>
          <w:rFonts w:hint="eastAsia" w:cs="宋体"/>
          <w:color w:val="auto"/>
          <w:kern w:val="0"/>
          <w:sz w:val="28"/>
          <w:szCs w:val="28"/>
          <w:lang w:val="en-US" w:eastAsia="zh-CN" w:bidi="ar-SA"/>
        </w:rPr>
        <w:t>考核制”考</w:t>
      </w:r>
      <w:r>
        <w:rPr>
          <w:rFonts w:hint="eastAsia" w:ascii="宋体" w:hAnsi="宋体" w:eastAsia="宋体" w:cs="宋体"/>
          <w:color w:val="auto"/>
          <w:kern w:val="0"/>
          <w:sz w:val="28"/>
          <w:szCs w:val="28"/>
          <w:lang w:val="en-US" w:eastAsia="zh-CN" w:bidi="ar-SA"/>
        </w:rPr>
        <w:t>生免于外语水平和专业基础考核，达到申请条件</w:t>
      </w:r>
      <w:r>
        <w:rPr>
          <w:rFonts w:hint="eastAsia" w:cs="宋体"/>
          <w:color w:val="auto"/>
          <w:kern w:val="0"/>
          <w:sz w:val="28"/>
          <w:szCs w:val="28"/>
          <w:lang w:val="en-US" w:eastAsia="zh-CN" w:bidi="ar-SA"/>
        </w:rPr>
        <w:t>，资格审查合格</w:t>
      </w:r>
      <w:r>
        <w:rPr>
          <w:rFonts w:hint="eastAsia" w:ascii="宋体" w:hAnsi="宋体" w:eastAsia="宋体" w:cs="宋体"/>
          <w:color w:val="auto"/>
          <w:kern w:val="0"/>
          <w:sz w:val="28"/>
          <w:szCs w:val="28"/>
          <w:lang w:val="en-US" w:eastAsia="zh-CN" w:bidi="ar-SA"/>
        </w:rPr>
        <w:t>的直接参加学院</w:t>
      </w:r>
      <w:r>
        <w:rPr>
          <w:rFonts w:hint="eastAsia" w:cs="宋体"/>
          <w:color w:val="auto"/>
          <w:kern w:val="0"/>
          <w:sz w:val="28"/>
          <w:szCs w:val="28"/>
          <w:lang w:val="en-US" w:eastAsia="zh-CN" w:bidi="ar-SA"/>
        </w:rPr>
        <w:t>组织的</w:t>
      </w:r>
      <w:r>
        <w:rPr>
          <w:rFonts w:hint="eastAsia" w:ascii="宋体" w:hAnsi="宋体" w:eastAsia="宋体" w:cs="宋体"/>
          <w:color w:val="auto"/>
          <w:kern w:val="0"/>
          <w:sz w:val="28"/>
          <w:szCs w:val="28"/>
          <w:lang w:val="en-US" w:eastAsia="zh-CN" w:bidi="ar-SA"/>
        </w:rPr>
        <w:t>综合考核。</w:t>
      </w:r>
    </w:p>
    <w:p>
      <w:pPr>
        <w:pStyle w:val="2"/>
        <w:keepNext w:val="0"/>
        <w:keepLines w:val="0"/>
        <w:widowControl/>
        <w:suppressLineNumbers w:val="0"/>
        <w:shd w:val="clear" w:color="auto" w:fill="FFFFFF"/>
        <w:spacing w:before="0" w:beforeAutospacing="0" w:after="0" w:afterAutospacing="0" w:line="360" w:lineRule="auto"/>
        <w:ind w:left="0" w:right="0" w:firstLine="435"/>
        <w:jc w:val="left"/>
        <w:rPr>
          <w:rFonts w:hint="eastAsia" w:ascii="宋体" w:hAnsi="宋体" w:eastAsia="宋体" w:cs="宋体"/>
          <w:color w:val="auto"/>
          <w:kern w:val="0"/>
          <w:sz w:val="28"/>
          <w:szCs w:val="28"/>
          <w:lang w:val="en-US" w:eastAsia="zh-CN" w:bidi="ar-SA"/>
        </w:rPr>
      </w:pPr>
      <w:r>
        <w:rPr>
          <w:rFonts w:hint="eastAsia" w:cs="宋体"/>
          <w:color w:val="auto"/>
          <w:kern w:val="0"/>
          <w:sz w:val="28"/>
          <w:szCs w:val="28"/>
          <w:lang w:val="en-US" w:eastAsia="zh-CN" w:bidi="ar-SA"/>
        </w:rPr>
        <w:t>3.</w:t>
      </w:r>
      <w:r>
        <w:rPr>
          <w:rFonts w:hint="eastAsia" w:ascii="宋体" w:hAnsi="宋体" w:eastAsia="宋体" w:cs="宋体"/>
          <w:color w:val="auto"/>
          <w:kern w:val="0"/>
          <w:sz w:val="28"/>
          <w:szCs w:val="28"/>
          <w:lang w:val="en-US" w:eastAsia="zh-CN" w:bidi="ar-SA"/>
        </w:rPr>
        <w:t>公开招考、硕博连读和</w:t>
      </w:r>
      <w:r>
        <w:rPr>
          <w:rFonts w:hint="eastAsia" w:cs="宋体"/>
          <w:color w:val="auto"/>
          <w:kern w:val="0"/>
          <w:sz w:val="28"/>
          <w:szCs w:val="28"/>
          <w:lang w:val="en-US" w:eastAsia="zh-CN" w:bidi="ar-SA"/>
        </w:rPr>
        <w:t>“</w:t>
      </w:r>
      <w:r>
        <w:rPr>
          <w:rFonts w:hint="eastAsia" w:ascii="宋体" w:hAnsi="宋体" w:eastAsia="宋体" w:cs="宋体"/>
          <w:color w:val="auto"/>
          <w:kern w:val="0"/>
          <w:sz w:val="28"/>
          <w:szCs w:val="28"/>
          <w:lang w:val="en-US" w:eastAsia="zh-CN" w:bidi="ar-SA"/>
        </w:rPr>
        <w:t>申请</w:t>
      </w:r>
      <w:r>
        <w:rPr>
          <w:rFonts w:hint="eastAsia" w:cs="宋体"/>
          <w:color w:val="auto"/>
          <w:kern w:val="0"/>
          <w:sz w:val="28"/>
          <w:szCs w:val="28"/>
          <w:lang w:val="en-US" w:eastAsia="zh-CN" w:bidi="ar-SA"/>
        </w:rPr>
        <w:t>考核制”</w:t>
      </w:r>
      <w:r>
        <w:rPr>
          <w:rFonts w:hint="eastAsia" w:ascii="宋体" w:hAnsi="宋体" w:eastAsia="宋体" w:cs="宋体"/>
          <w:color w:val="auto"/>
          <w:kern w:val="0"/>
          <w:sz w:val="28"/>
          <w:szCs w:val="28"/>
          <w:lang w:val="en-US" w:eastAsia="zh-CN" w:bidi="ar-SA"/>
        </w:rPr>
        <w:t>三种招考形式</w:t>
      </w:r>
      <w:r>
        <w:rPr>
          <w:rFonts w:hint="eastAsia" w:cs="宋体"/>
          <w:color w:val="auto"/>
          <w:kern w:val="0"/>
          <w:sz w:val="28"/>
          <w:szCs w:val="28"/>
          <w:lang w:val="en-US" w:eastAsia="zh-CN" w:bidi="ar-SA"/>
        </w:rPr>
        <w:t>考生</w:t>
      </w:r>
      <w:r>
        <w:rPr>
          <w:rFonts w:hint="eastAsia" w:ascii="宋体" w:hAnsi="宋体" w:eastAsia="宋体" w:cs="宋体"/>
          <w:color w:val="auto"/>
          <w:kern w:val="0"/>
          <w:sz w:val="28"/>
          <w:szCs w:val="28"/>
          <w:lang w:val="en-US" w:eastAsia="zh-CN" w:bidi="ar-SA"/>
        </w:rPr>
        <w:t>的综合考核统一进行</w:t>
      </w:r>
      <w:r>
        <w:rPr>
          <w:rFonts w:hint="eastAsia" w:cs="宋体"/>
          <w:color w:val="auto"/>
          <w:kern w:val="0"/>
          <w:sz w:val="28"/>
          <w:szCs w:val="28"/>
          <w:lang w:val="en-US" w:eastAsia="zh-CN" w:bidi="ar-SA"/>
        </w:rPr>
        <w:t>。</w:t>
      </w:r>
    </w:p>
    <w:p>
      <w:pPr>
        <w:widowControl/>
        <w:spacing w:line="520" w:lineRule="exact"/>
        <w:ind w:firstLine="420"/>
        <w:jc w:val="left"/>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外语水平免试的要求为：</w:t>
      </w:r>
    </w:p>
    <w:p>
      <w:pPr>
        <w:widowControl/>
        <w:spacing w:line="520" w:lineRule="exact"/>
        <w:ind w:firstLine="420"/>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通过大学生外语六级考试、雅思6.0分以上、GRE成绩1200分以上(新标准307分以上）、托福85分以上的可以免于外语考试。</w:t>
      </w:r>
    </w:p>
    <w:p>
      <w:pPr>
        <w:widowControl/>
        <w:spacing w:line="520" w:lineRule="exact"/>
        <w:ind w:firstLine="420"/>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外语水平考核和专业基础考试由研究生院组织，具体时间待定（以研究生院通知为准）。</w:t>
      </w:r>
    </w:p>
    <w:p>
      <w:pPr>
        <w:spacing w:line="360" w:lineRule="auto"/>
        <w:rPr>
          <w:rFonts w:hint="eastAsia" w:ascii="宋体" w:hAnsi="宋体"/>
          <w:b/>
          <w:sz w:val="28"/>
          <w:szCs w:val="28"/>
          <w:lang w:val="en-US" w:eastAsia="zh-CN"/>
        </w:rPr>
      </w:pPr>
      <w:r>
        <w:rPr>
          <w:rFonts w:hint="eastAsia" w:ascii="宋体" w:hAnsi="宋体"/>
          <w:b/>
          <w:sz w:val="28"/>
          <w:szCs w:val="28"/>
          <w:lang w:val="en-US" w:eastAsia="zh-CN"/>
        </w:rPr>
        <w:t>三、综合考核时间、地点及考核验证</w:t>
      </w:r>
    </w:p>
    <w:p>
      <w:pPr>
        <w:widowControl/>
        <w:spacing w:line="520" w:lineRule="exact"/>
        <w:ind w:firstLine="420"/>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1.考核时间：一般安排在外语水平考核后的20日内进行（以具体通知为准）。</w:t>
      </w:r>
    </w:p>
    <w:p>
      <w:pPr>
        <w:widowControl/>
        <w:spacing w:line="520" w:lineRule="exact"/>
        <w:ind w:firstLine="420"/>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2.考核地点：西南大学园艺园林学院（33教学楼，以具体通知为准）。</w:t>
      </w:r>
    </w:p>
    <w:p>
      <w:pPr>
        <w:widowControl/>
        <w:spacing w:line="520" w:lineRule="exact"/>
        <w:ind w:firstLine="420"/>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3.考核验证：</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（1）取得资格的考生在参加综合考核前，需将如下材料邮寄至西南大学园艺园林学院：</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①网上报名生成的报名登记表</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②身份证正反面复印件</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③两份由报考专业相关的教授签字封口的专家推荐信</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④学术研究计划（已有工作基础、下一步研究计划、技术路线、预期成果等）</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⑤往届生的硕士学位证复印件</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⑥应届生的学生证复印件、学校研究生管理部门盖章的应届硕士毕业生证明复印件</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⑦硕士阶段成绩单</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⑧公开发表（出版）的论文（专著）复印件</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⑨科研成果证明</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⑩学习（工作）中获奖证书</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⑾ 硕士学位论文等</w:t>
      </w:r>
    </w:p>
    <w:p>
      <w:pPr>
        <w:widowControl/>
        <w:numPr>
          <w:ilvl w:val="0"/>
          <w:numId w:val="2"/>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考生在参加综合考核时须向学院提交以下材料予以验证：</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①身份证原件</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②准考证</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③往届生的硕士学位证原件</w:t>
      </w:r>
    </w:p>
    <w:p>
      <w:pPr>
        <w:widowControl/>
        <w:numPr>
          <w:ilvl w:val="0"/>
          <w:numId w:val="0"/>
        </w:numPr>
        <w:spacing w:line="520" w:lineRule="exact"/>
        <w:jc w:val="left"/>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④应届生的学生证原件、学校研究生管理部门盖章的应届硕士毕业生证明原件。</w:t>
      </w:r>
    </w:p>
    <w:p>
      <w:pPr>
        <w:spacing w:line="360" w:lineRule="auto"/>
        <w:rPr>
          <w:rFonts w:hint="eastAsia" w:ascii="宋体" w:hAnsi="宋体"/>
          <w:b/>
          <w:sz w:val="28"/>
          <w:szCs w:val="28"/>
          <w:lang w:eastAsia="zh-CN"/>
        </w:rPr>
      </w:pPr>
      <w:r>
        <w:rPr>
          <w:rFonts w:hint="eastAsia" w:ascii="宋体" w:hAnsi="宋体"/>
          <w:b/>
          <w:sz w:val="28"/>
          <w:szCs w:val="28"/>
          <w:lang w:eastAsia="zh-CN"/>
        </w:rPr>
        <w:t>四、综合考核内容及成绩计算</w:t>
      </w:r>
    </w:p>
    <w:p>
      <w:pPr>
        <w:pStyle w:val="3"/>
        <w:numPr>
          <w:ilvl w:val="0"/>
          <w:numId w:val="0"/>
        </w:numPr>
        <w:spacing w:before="0" w:beforeAutospacing="0" w:after="0" w:afterAutospacing="0" w:line="360" w:lineRule="auto"/>
        <w:ind w:firstLine="420" w:firstLineChars="0"/>
        <w:rPr>
          <w:rFonts w:ascii="Times New Roman" w:hAnsi="Times New Roman" w:cs="Times New Roman"/>
          <w:sz w:val="28"/>
          <w:szCs w:val="28"/>
        </w:rPr>
      </w:pP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rPr>
        <w:t>为科学、公平、公正地进行博士生招生考试的综合考核和录取，</w:t>
      </w:r>
      <w:r>
        <w:rPr>
          <w:rFonts w:hint="eastAsia" w:ascii="Times New Roman" w:hAnsi="Times New Roman" w:cs="Times New Roman"/>
          <w:sz w:val="28"/>
          <w:szCs w:val="28"/>
          <w:lang w:eastAsia="zh-CN"/>
        </w:rPr>
        <w:t>我院</w:t>
      </w:r>
      <w:r>
        <w:rPr>
          <w:rFonts w:hint="eastAsia" w:ascii="Times New Roman" w:hAnsi="Times New Roman" w:cs="Times New Roman"/>
          <w:sz w:val="28"/>
          <w:szCs w:val="28"/>
        </w:rPr>
        <w:t>综合考核成绩</w:t>
      </w:r>
      <w:r>
        <w:rPr>
          <w:rFonts w:hint="eastAsia" w:ascii="Times New Roman" w:hAnsi="Times New Roman" w:cs="Times New Roman"/>
          <w:sz w:val="28"/>
          <w:szCs w:val="28"/>
          <w:lang w:eastAsia="zh-CN"/>
        </w:rPr>
        <w:t>采用</w:t>
      </w:r>
      <w:r>
        <w:rPr>
          <w:rFonts w:hint="eastAsia" w:ascii="Times New Roman" w:hAnsi="Times New Roman" w:cs="Times New Roman"/>
          <w:sz w:val="28"/>
          <w:szCs w:val="28"/>
        </w:rPr>
        <w:t>量化的方式进行。综合考核内容包括以下几个部分：</w:t>
      </w:r>
    </w:p>
    <w:p>
      <w:pPr>
        <w:pStyle w:val="3"/>
        <w:spacing w:before="0" w:beforeAutospacing="0" w:after="0" w:afterAutospacing="0" w:line="360" w:lineRule="auto"/>
        <w:ind w:firstLine="420"/>
        <w:rPr>
          <w:rFonts w:ascii="Times New Roman" w:hAnsi="Times New Roman" w:cs="Times New Roman"/>
          <w:sz w:val="28"/>
          <w:szCs w:val="28"/>
        </w:rPr>
      </w:pP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rPr>
        <w:t>心理健康测评：心理健康测评由考核小组以提问、材料审查等形式进行考察，</w:t>
      </w:r>
      <w:r>
        <w:rPr>
          <w:rFonts w:hint="eastAsia" w:ascii="Times New Roman" w:hAnsi="Times New Roman" w:cs="Times New Roman"/>
          <w:sz w:val="28"/>
          <w:szCs w:val="28"/>
          <w:lang w:eastAsia="zh-CN"/>
        </w:rPr>
        <w:t>考核结论为：</w:t>
      </w:r>
      <w:r>
        <w:rPr>
          <w:rFonts w:hint="eastAsia" w:ascii="Times New Roman" w:hAnsi="Times New Roman" w:cs="Times New Roman"/>
          <w:sz w:val="28"/>
          <w:szCs w:val="28"/>
        </w:rPr>
        <w:t>合格</w:t>
      </w:r>
      <w:r>
        <w:rPr>
          <w:rFonts w:hint="eastAsia" w:ascii="Times New Roman" w:hAnsi="Times New Roman" w:cs="Times New Roman"/>
          <w:sz w:val="28"/>
          <w:szCs w:val="28"/>
          <w:lang w:eastAsia="zh-CN"/>
        </w:rPr>
        <w:t>、</w:t>
      </w:r>
      <w:r>
        <w:rPr>
          <w:rFonts w:hint="eastAsia" w:ascii="Times New Roman" w:hAnsi="Times New Roman" w:cs="Times New Roman"/>
          <w:sz w:val="28"/>
          <w:szCs w:val="28"/>
        </w:rPr>
        <w:t>不合格</w:t>
      </w:r>
      <w:r>
        <w:rPr>
          <w:rFonts w:hint="eastAsia" w:ascii="Times New Roman" w:hAnsi="Times New Roman" w:cs="Times New Roman"/>
          <w:sz w:val="28"/>
          <w:szCs w:val="28"/>
          <w:lang w:eastAsia="zh-CN"/>
        </w:rPr>
        <w:t>两种</w:t>
      </w:r>
      <w:r>
        <w:rPr>
          <w:rFonts w:hint="eastAsia" w:ascii="Times New Roman" w:hAnsi="Times New Roman" w:cs="Times New Roman"/>
          <w:sz w:val="28"/>
          <w:szCs w:val="28"/>
        </w:rPr>
        <w:t>。不合格考生不得进入专业考核。</w:t>
      </w:r>
    </w:p>
    <w:p>
      <w:pPr>
        <w:widowControl/>
        <w:spacing w:line="360" w:lineRule="auto"/>
        <w:ind w:firstLine="420"/>
        <w:jc w:val="left"/>
        <w:rPr>
          <w:kern w:val="0"/>
          <w:sz w:val="28"/>
          <w:szCs w:val="28"/>
        </w:rPr>
      </w:pPr>
      <w:r>
        <w:rPr>
          <w:rFonts w:hint="eastAsia"/>
          <w:kern w:val="0"/>
          <w:sz w:val="28"/>
          <w:szCs w:val="28"/>
          <w:lang w:val="en-US" w:eastAsia="zh-CN"/>
        </w:rPr>
        <w:t>2.</w:t>
      </w:r>
      <w:r>
        <w:rPr>
          <w:rFonts w:hint="eastAsia"/>
          <w:kern w:val="0"/>
          <w:sz w:val="28"/>
          <w:szCs w:val="28"/>
        </w:rPr>
        <w:t>综合考核形式及科目：笔试与面试相结合</w:t>
      </w:r>
    </w:p>
    <w:p>
      <w:pPr>
        <w:pStyle w:val="7"/>
        <w:spacing w:line="360" w:lineRule="auto"/>
        <w:rPr>
          <w:rFonts w:hint="eastAsia" w:ascii="Times New Roman" w:cs="Times New Roman"/>
          <w:color w:val="auto"/>
          <w:sz w:val="28"/>
          <w:szCs w:val="28"/>
          <w:lang w:eastAsia="zh-CN"/>
        </w:rPr>
      </w:pPr>
      <w:r>
        <w:rPr>
          <w:rFonts w:hint="eastAsia" w:ascii="Times New Roman" w:cs="Times New Roman"/>
          <w:color w:val="auto"/>
          <w:sz w:val="28"/>
          <w:szCs w:val="28"/>
          <w:lang w:val="en-US" w:eastAsia="zh-CN"/>
        </w:rPr>
        <w:t xml:space="preserve">   </w:t>
      </w:r>
      <w:r>
        <w:rPr>
          <w:rFonts w:hint="eastAsia" w:ascii="Times New Roman" w:cs="Times New Roman"/>
          <w:color w:val="auto"/>
          <w:sz w:val="28"/>
          <w:szCs w:val="28"/>
          <w:lang w:eastAsia="zh-CN"/>
        </w:rPr>
        <w:t>Ⅰ</w:t>
      </w:r>
      <w:r>
        <w:rPr>
          <w:rFonts w:hint="eastAsia" w:ascii="Times New Roman" w:cs="Times New Roman"/>
          <w:color w:val="auto"/>
          <w:sz w:val="28"/>
          <w:szCs w:val="28"/>
          <w:lang w:val="en-US" w:eastAsia="zh-CN"/>
        </w:rPr>
        <w:t>.</w:t>
      </w:r>
      <w:r>
        <w:rPr>
          <w:rFonts w:hint="eastAsia" w:ascii="Times New Roman" w:cs="Times New Roman"/>
          <w:color w:val="auto"/>
          <w:sz w:val="28"/>
          <w:szCs w:val="28"/>
        </w:rPr>
        <w:t xml:space="preserve"> 综合笔试：时间为3小时，满分</w:t>
      </w:r>
      <w:r>
        <w:rPr>
          <w:rFonts w:ascii="Times New Roman" w:cs="Times New Roman"/>
          <w:color w:val="auto"/>
          <w:sz w:val="28"/>
          <w:szCs w:val="28"/>
        </w:rPr>
        <w:t>100</w:t>
      </w:r>
      <w:r>
        <w:rPr>
          <w:rFonts w:hint="eastAsia" w:ascii="Times New Roman" w:cs="Times New Roman"/>
          <w:color w:val="auto"/>
          <w:sz w:val="28"/>
          <w:szCs w:val="28"/>
        </w:rPr>
        <w:t>分。</w:t>
      </w:r>
      <w:r>
        <w:rPr>
          <w:rFonts w:hint="eastAsia" w:ascii="Times New Roman" w:cs="Times New Roman"/>
          <w:color w:val="auto"/>
          <w:sz w:val="28"/>
          <w:szCs w:val="28"/>
          <w:lang w:eastAsia="zh-CN"/>
        </w:rPr>
        <w:t>综合</w:t>
      </w:r>
      <w:r>
        <w:rPr>
          <w:rFonts w:hint="eastAsia" w:ascii="Times New Roman" w:cs="Times New Roman"/>
          <w:color w:val="auto"/>
          <w:sz w:val="28"/>
          <w:szCs w:val="28"/>
        </w:rPr>
        <w:t>考查</w:t>
      </w:r>
      <w:r>
        <w:rPr>
          <w:rFonts w:hint="eastAsia" w:ascii="Times New Roman" w:cs="Times New Roman"/>
          <w:color w:val="auto"/>
          <w:sz w:val="28"/>
          <w:szCs w:val="28"/>
          <w:lang w:eastAsia="zh-CN"/>
        </w:rPr>
        <w:t>考生对</w:t>
      </w:r>
      <w:r>
        <w:rPr>
          <w:rFonts w:hint="eastAsia" w:ascii="Times New Roman" w:cs="Times New Roman"/>
          <w:color w:val="auto"/>
          <w:sz w:val="28"/>
          <w:szCs w:val="28"/>
        </w:rPr>
        <w:t>本专业知识</w:t>
      </w:r>
      <w:r>
        <w:rPr>
          <w:rFonts w:hint="eastAsia" w:ascii="Times New Roman" w:cs="Times New Roman"/>
          <w:color w:val="auto"/>
          <w:sz w:val="28"/>
          <w:szCs w:val="28"/>
          <w:lang w:eastAsia="zh-CN"/>
        </w:rPr>
        <w:t>的掌握情况</w:t>
      </w:r>
      <w:r>
        <w:rPr>
          <w:rFonts w:hint="eastAsia" w:ascii="Times New Roman" w:cs="Times New Roman"/>
          <w:color w:val="auto"/>
          <w:sz w:val="28"/>
          <w:szCs w:val="28"/>
        </w:rPr>
        <w:t>与英语水平。</w:t>
      </w:r>
      <w:r>
        <w:rPr>
          <w:rFonts w:hint="eastAsia" w:ascii="Times New Roman" w:cs="Times New Roman"/>
          <w:color w:val="auto"/>
          <w:sz w:val="28"/>
          <w:szCs w:val="28"/>
          <w:lang w:eastAsia="zh-CN"/>
        </w:rPr>
        <w:t>专业知识</w:t>
      </w:r>
      <w:r>
        <w:rPr>
          <w:rFonts w:hint="eastAsia" w:ascii="Times New Roman" w:cs="Times New Roman"/>
          <w:color w:val="auto"/>
          <w:sz w:val="28"/>
          <w:szCs w:val="28"/>
          <w:lang w:val="en-US" w:eastAsia="zh-CN"/>
        </w:rPr>
        <w:t>70%，专业外语30%。</w:t>
      </w:r>
      <w:r>
        <w:rPr>
          <w:rFonts w:hint="eastAsia" w:ascii="Times New Roman" w:cs="Times New Roman"/>
          <w:color w:val="auto"/>
          <w:sz w:val="28"/>
          <w:szCs w:val="28"/>
          <w:lang w:eastAsia="zh-CN"/>
        </w:rPr>
        <w:t>我院综合笔试以二级学科为单位命题，各学科在相同的时间地点进行笔试（具体时间、地点待定），各专业笔试科目如下：</w:t>
      </w:r>
    </w:p>
    <w:tbl>
      <w:tblPr>
        <w:tblStyle w:val="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412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7" w:type="dxa"/>
            <w:vAlign w:val="center"/>
          </w:tcPr>
          <w:p>
            <w:pPr>
              <w:pStyle w:val="7"/>
              <w:spacing w:line="360" w:lineRule="auto"/>
              <w:jc w:val="center"/>
              <w:rPr>
                <w:rFonts w:hint="eastAsia" w:ascii="Times New Roman" w:cs="Times New Roman"/>
                <w:color w:val="auto"/>
                <w:sz w:val="28"/>
                <w:szCs w:val="28"/>
                <w:vertAlign w:val="baseline"/>
                <w:lang w:eastAsia="zh-CN"/>
              </w:rPr>
            </w:pPr>
            <w:r>
              <w:rPr>
                <w:rFonts w:hint="eastAsia" w:ascii="Times New Roman" w:cs="Times New Roman"/>
                <w:color w:val="auto"/>
                <w:sz w:val="28"/>
                <w:szCs w:val="28"/>
                <w:vertAlign w:val="baseline"/>
                <w:lang w:eastAsia="zh-CN"/>
              </w:rPr>
              <w:t>专业</w:t>
            </w:r>
          </w:p>
        </w:tc>
        <w:tc>
          <w:tcPr>
            <w:tcW w:w="4125" w:type="dxa"/>
            <w:vAlign w:val="center"/>
          </w:tcPr>
          <w:p>
            <w:pPr>
              <w:pStyle w:val="7"/>
              <w:spacing w:line="360" w:lineRule="auto"/>
              <w:jc w:val="center"/>
              <w:rPr>
                <w:rFonts w:hint="eastAsia" w:ascii="Times New Roman" w:cs="Times New Roman"/>
                <w:color w:val="auto"/>
                <w:sz w:val="28"/>
                <w:szCs w:val="28"/>
                <w:vertAlign w:val="baseline"/>
                <w:lang w:eastAsia="zh-CN"/>
              </w:rPr>
            </w:pPr>
            <w:r>
              <w:rPr>
                <w:rFonts w:hint="eastAsia" w:ascii="Times New Roman" w:cs="Times New Roman"/>
                <w:color w:val="auto"/>
                <w:sz w:val="28"/>
                <w:szCs w:val="28"/>
                <w:vertAlign w:val="baseline"/>
                <w:lang w:eastAsia="zh-CN"/>
              </w:rPr>
              <w:t>考试科目</w:t>
            </w:r>
          </w:p>
        </w:tc>
        <w:tc>
          <w:tcPr>
            <w:tcW w:w="4012" w:type="dxa"/>
            <w:vAlign w:val="center"/>
          </w:tcPr>
          <w:p>
            <w:pPr>
              <w:pStyle w:val="7"/>
              <w:spacing w:line="360" w:lineRule="auto"/>
              <w:jc w:val="center"/>
              <w:rPr>
                <w:rFonts w:hint="eastAsia" w:ascii="Times New Roman" w:cs="Times New Roman"/>
                <w:color w:val="auto"/>
                <w:sz w:val="28"/>
                <w:szCs w:val="28"/>
                <w:vertAlign w:val="baseline"/>
                <w:lang w:eastAsia="zh-CN"/>
              </w:rPr>
            </w:pPr>
            <w:r>
              <w:rPr>
                <w:rFonts w:hint="eastAsia" w:ascii="Times New Roman" w:cs="Times New Roman"/>
                <w:color w:val="auto"/>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7" w:type="dxa"/>
            <w:vAlign w:val="center"/>
          </w:tcPr>
          <w:p>
            <w:pPr>
              <w:pStyle w:val="7"/>
              <w:spacing w:line="360" w:lineRule="auto"/>
              <w:jc w:val="center"/>
              <w:rPr>
                <w:rFonts w:hint="eastAsia" w:ascii="Times New Roman" w:cs="Times New Roman"/>
                <w:color w:val="auto"/>
                <w:sz w:val="28"/>
                <w:szCs w:val="28"/>
                <w:vertAlign w:val="baseline"/>
                <w:lang w:eastAsia="zh-CN"/>
              </w:rPr>
            </w:pPr>
            <w:r>
              <w:rPr>
                <w:rFonts w:hint="eastAsia" w:ascii="Times New Roman" w:cs="Times New Roman"/>
                <w:color w:val="auto"/>
                <w:sz w:val="28"/>
                <w:szCs w:val="28"/>
                <w:vertAlign w:val="baseline"/>
                <w:lang w:eastAsia="zh-CN"/>
              </w:rPr>
              <w:t>果树学</w:t>
            </w:r>
          </w:p>
        </w:tc>
        <w:tc>
          <w:tcPr>
            <w:tcW w:w="4125" w:type="dxa"/>
            <w:vAlign w:val="top"/>
          </w:tcPr>
          <w:p>
            <w:pPr>
              <w:pStyle w:val="7"/>
              <w:spacing w:line="360" w:lineRule="auto"/>
              <w:jc w:val="both"/>
              <w:rPr>
                <w:rFonts w:hint="eastAsia" w:ascii="Times New Roman" w:cs="Times New Roman"/>
                <w:color w:val="auto"/>
                <w:sz w:val="28"/>
                <w:szCs w:val="28"/>
                <w:vertAlign w:val="baseline"/>
                <w:lang w:eastAsia="zh-CN"/>
              </w:rPr>
            </w:pPr>
            <w:r>
              <w:rPr>
                <w:rFonts w:hint="eastAsia" w:ascii="Times New Roman" w:cs="Times New Roman"/>
                <w:color w:val="auto"/>
                <w:sz w:val="28"/>
                <w:szCs w:val="28"/>
                <w:vertAlign w:val="baseline"/>
                <w:lang w:eastAsia="zh-CN"/>
              </w:rPr>
              <w:t>果树栽培育种学、专业外语</w:t>
            </w:r>
          </w:p>
        </w:tc>
        <w:tc>
          <w:tcPr>
            <w:tcW w:w="4012" w:type="dxa"/>
            <w:vAlign w:val="top"/>
          </w:tcPr>
          <w:p>
            <w:pPr>
              <w:pStyle w:val="7"/>
              <w:spacing w:line="360" w:lineRule="auto"/>
              <w:jc w:val="both"/>
              <w:rPr>
                <w:rFonts w:hint="eastAsia" w:ascii="Times New Roman" w:cs="Times New Roman"/>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7" w:type="dxa"/>
            <w:vAlign w:val="center"/>
          </w:tcPr>
          <w:p>
            <w:pPr>
              <w:pStyle w:val="7"/>
              <w:spacing w:line="360" w:lineRule="auto"/>
              <w:jc w:val="center"/>
              <w:rPr>
                <w:rFonts w:hint="eastAsia" w:ascii="Times New Roman" w:cs="Times New Roman"/>
                <w:color w:val="auto"/>
                <w:sz w:val="28"/>
                <w:szCs w:val="28"/>
                <w:vertAlign w:val="baseline"/>
                <w:lang w:eastAsia="zh-CN"/>
              </w:rPr>
            </w:pPr>
            <w:r>
              <w:rPr>
                <w:rFonts w:hint="eastAsia" w:ascii="Times New Roman" w:cs="Times New Roman"/>
                <w:color w:val="auto"/>
                <w:sz w:val="28"/>
                <w:szCs w:val="28"/>
                <w:vertAlign w:val="baseline"/>
                <w:lang w:eastAsia="zh-CN"/>
              </w:rPr>
              <w:t>蔬菜学</w:t>
            </w:r>
          </w:p>
        </w:tc>
        <w:tc>
          <w:tcPr>
            <w:tcW w:w="4125" w:type="dxa"/>
            <w:vAlign w:val="top"/>
          </w:tcPr>
          <w:p>
            <w:pPr>
              <w:pStyle w:val="7"/>
              <w:spacing w:line="360" w:lineRule="auto"/>
              <w:jc w:val="both"/>
              <w:rPr>
                <w:rFonts w:hint="eastAsia" w:ascii="Times New Roman" w:cs="Times New Roman"/>
                <w:color w:val="auto"/>
                <w:sz w:val="28"/>
                <w:szCs w:val="28"/>
                <w:vertAlign w:val="baseline"/>
                <w:lang w:eastAsia="zh-CN"/>
              </w:rPr>
            </w:pPr>
            <w:r>
              <w:rPr>
                <w:rFonts w:hint="eastAsia" w:ascii="Times New Roman" w:cs="Times New Roman"/>
                <w:color w:val="auto"/>
                <w:sz w:val="28"/>
                <w:szCs w:val="28"/>
                <w:vertAlign w:val="baseline"/>
                <w:lang w:eastAsia="zh-CN"/>
              </w:rPr>
              <w:t>蔬菜栽培育种学、专业外语</w:t>
            </w:r>
          </w:p>
        </w:tc>
        <w:tc>
          <w:tcPr>
            <w:tcW w:w="4012" w:type="dxa"/>
            <w:vAlign w:val="top"/>
          </w:tcPr>
          <w:p>
            <w:pPr>
              <w:pStyle w:val="7"/>
              <w:spacing w:line="360" w:lineRule="auto"/>
              <w:jc w:val="both"/>
              <w:rPr>
                <w:rFonts w:hint="eastAsia" w:ascii="Times New Roman" w:cs="Times New Roman"/>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7" w:type="dxa"/>
            <w:vAlign w:val="center"/>
          </w:tcPr>
          <w:p>
            <w:pPr>
              <w:pStyle w:val="7"/>
              <w:spacing w:line="360" w:lineRule="auto"/>
              <w:jc w:val="center"/>
              <w:rPr>
                <w:rFonts w:hint="eastAsia" w:ascii="Times New Roman" w:cs="Times New Roman"/>
                <w:color w:val="auto"/>
                <w:sz w:val="28"/>
                <w:szCs w:val="28"/>
                <w:vertAlign w:val="baseline"/>
                <w:lang w:eastAsia="zh-CN"/>
              </w:rPr>
            </w:pPr>
            <w:r>
              <w:rPr>
                <w:rFonts w:hint="eastAsia" w:ascii="Times New Roman" w:cs="Times New Roman"/>
                <w:color w:val="auto"/>
                <w:sz w:val="28"/>
                <w:szCs w:val="28"/>
                <w:vertAlign w:val="baseline"/>
                <w:lang w:eastAsia="zh-CN"/>
              </w:rPr>
              <w:t>观赏园艺学</w:t>
            </w:r>
          </w:p>
        </w:tc>
        <w:tc>
          <w:tcPr>
            <w:tcW w:w="4125" w:type="dxa"/>
            <w:vAlign w:val="top"/>
          </w:tcPr>
          <w:p>
            <w:pPr>
              <w:pStyle w:val="7"/>
              <w:spacing w:line="360" w:lineRule="auto"/>
              <w:jc w:val="both"/>
              <w:rPr>
                <w:rFonts w:hint="eastAsia" w:ascii="Times New Roman" w:cs="Times New Roman"/>
                <w:color w:val="auto"/>
                <w:sz w:val="28"/>
                <w:szCs w:val="28"/>
                <w:vertAlign w:val="baseline"/>
                <w:lang w:eastAsia="zh-CN"/>
              </w:rPr>
            </w:pPr>
            <w:r>
              <w:rPr>
                <w:rFonts w:hint="eastAsia" w:ascii="Times New Roman" w:cs="Times New Roman"/>
                <w:color w:val="auto"/>
                <w:sz w:val="28"/>
                <w:szCs w:val="28"/>
                <w:vertAlign w:val="baseline"/>
                <w:lang w:eastAsia="zh-CN"/>
              </w:rPr>
              <w:t>园林植物遗传育种学、专业外语</w:t>
            </w:r>
          </w:p>
        </w:tc>
        <w:tc>
          <w:tcPr>
            <w:tcW w:w="4012" w:type="dxa"/>
            <w:vAlign w:val="top"/>
          </w:tcPr>
          <w:p>
            <w:pPr>
              <w:pStyle w:val="7"/>
              <w:spacing w:line="360" w:lineRule="auto"/>
              <w:jc w:val="both"/>
              <w:rPr>
                <w:rFonts w:hint="eastAsia" w:ascii="Times New Roman" w:cs="Times New Roman"/>
                <w:color w:val="auto"/>
                <w:sz w:val="28"/>
                <w:szCs w:val="28"/>
                <w:vertAlign w:val="baseline"/>
                <w:lang w:eastAsia="zh-CN"/>
              </w:rPr>
            </w:pPr>
          </w:p>
        </w:tc>
      </w:tr>
    </w:tbl>
    <w:p>
      <w:pPr>
        <w:pStyle w:val="7"/>
        <w:spacing w:line="360" w:lineRule="auto"/>
        <w:rPr>
          <w:rFonts w:hint="eastAsia" w:ascii="Times New Roman" w:cs="Times New Roman"/>
          <w:color w:val="auto"/>
          <w:sz w:val="28"/>
          <w:szCs w:val="28"/>
          <w:lang w:eastAsia="zh-CN"/>
        </w:rPr>
      </w:pPr>
      <w:r>
        <w:rPr>
          <w:rFonts w:hint="eastAsia" w:ascii="Times New Roman" w:cs="Times New Roman"/>
          <w:color w:val="auto"/>
          <w:sz w:val="28"/>
          <w:szCs w:val="28"/>
          <w:lang w:val="en-US" w:eastAsia="zh-CN"/>
        </w:rPr>
        <w:t xml:space="preserve">  </w:t>
      </w:r>
      <w:r>
        <w:rPr>
          <w:rFonts w:hint="eastAsia" w:ascii="Times New Roman" w:cs="Times New Roman"/>
          <w:color w:val="auto"/>
          <w:sz w:val="28"/>
          <w:szCs w:val="28"/>
          <w:lang w:eastAsia="zh-CN"/>
        </w:rPr>
        <w:t>Ⅱ</w:t>
      </w:r>
      <w:r>
        <w:rPr>
          <w:rFonts w:hint="eastAsia" w:ascii="Times New Roman" w:cs="Times New Roman"/>
          <w:color w:val="auto"/>
          <w:sz w:val="28"/>
          <w:szCs w:val="28"/>
          <w:lang w:val="en-US" w:eastAsia="zh-CN"/>
        </w:rPr>
        <w:t>.</w:t>
      </w:r>
      <w:r>
        <w:rPr>
          <w:rFonts w:hint="eastAsia" w:ascii="Times New Roman" w:cs="Times New Roman"/>
          <w:color w:val="auto"/>
          <w:sz w:val="28"/>
          <w:szCs w:val="28"/>
        </w:rPr>
        <w:t>综合面试：</w:t>
      </w:r>
      <w:r>
        <w:rPr>
          <w:rFonts w:hint="eastAsia" w:ascii="Times New Roman" w:cs="Times New Roman"/>
          <w:color w:val="auto"/>
          <w:sz w:val="28"/>
          <w:szCs w:val="28"/>
          <w:lang w:eastAsia="zh-CN"/>
        </w:rPr>
        <w:t>以一级学科为单位统一组织进行。</w:t>
      </w:r>
      <w:r>
        <w:rPr>
          <w:rFonts w:hint="eastAsia" w:ascii="Times New Roman" w:cs="Times New Roman"/>
          <w:color w:val="auto"/>
          <w:sz w:val="28"/>
          <w:szCs w:val="28"/>
        </w:rPr>
        <w:t>每位考生约</w:t>
      </w:r>
      <w:r>
        <w:rPr>
          <w:rFonts w:ascii="Times New Roman" w:cs="Times New Roman"/>
          <w:color w:val="auto"/>
          <w:sz w:val="28"/>
          <w:szCs w:val="28"/>
        </w:rPr>
        <w:t>30</w:t>
      </w:r>
      <w:r>
        <w:rPr>
          <w:rFonts w:hint="eastAsia" w:ascii="Times New Roman" w:cs="Times New Roman"/>
          <w:color w:val="auto"/>
          <w:sz w:val="28"/>
          <w:szCs w:val="28"/>
        </w:rPr>
        <w:t>分钟，满分</w:t>
      </w:r>
      <w:r>
        <w:rPr>
          <w:rFonts w:ascii="Times New Roman" w:cs="Times New Roman"/>
          <w:color w:val="auto"/>
          <w:sz w:val="28"/>
          <w:szCs w:val="28"/>
        </w:rPr>
        <w:t>100</w:t>
      </w:r>
      <w:r>
        <w:rPr>
          <w:rFonts w:hint="eastAsia" w:ascii="Times New Roman" w:cs="Times New Roman"/>
          <w:color w:val="auto"/>
          <w:sz w:val="28"/>
          <w:szCs w:val="28"/>
        </w:rPr>
        <w:t>分。重点考查</w:t>
      </w:r>
      <w:r>
        <w:rPr>
          <w:rFonts w:hint="eastAsia" w:ascii="Times New Roman" w:cs="Times New Roman"/>
          <w:color w:val="auto"/>
          <w:sz w:val="28"/>
          <w:szCs w:val="28"/>
          <w:lang w:eastAsia="zh-CN"/>
        </w:rPr>
        <w:t>考生</w:t>
      </w:r>
      <w:r>
        <w:rPr>
          <w:rFonts w:hint="eastAsia" w:ascii="Times New Roman" w:cs="Times New Roman"/>
          <w:color w:val="auto"/>
          <w:sz w:val="28"/>
          <w:szCs w:val="28"/>
        </w:rPr>
        <w:t>的基本素养、学术能力、学术志趣、研究潜力、学术研究计划等。</w:t>
      </w:r>
      <w:r>
        <w:rPr>
          <w:rFonts w:hint="eastAsia" w:ascii="Times New Roman" w:cs="Times New Roman"/>
          <w:color w:val="auto"/>
          <w:sz w:val="28"/>
          <w:szCs w:val="28"/>
          <w:lang w:eastAsia="zh-CN"/>
        </w:rPr>
        <w:t>具体细则见附件。</w:t>
      </w:r>
    </w:p>
    <w:p>
      <w:pPr>
        <w:pStyle w:val="7"/>
        <w:spacing w:line="360" w:lineRule="auto"/>
        <w:rPr>
          <w:rFonts w:ascii="Times New Roman" w:cs="Times New Roman"/>
          <w:color w:val="auto"/>
          <w:sz w:val="28"/>
          <w:szCs w:val="28"/>
        </w:rPr>
      </w:pPr>
      <w:r>
        <w:rPr>
          <w:rFonts w:hint="eastAsia" w:ascii="Times New Roman" w:cs="Times New Roman"/>
          <w:color w:val="auto"/>
          <w:sz w:val="28"/>
          <w:szCs w:val="28"/>
          <w:lang w:val="en-US" w:eastAsia="zh-CN"/>
        </w:rPr>
        <w:t xml:space="preserve">   </w:t>
      </w:r>
      <w:r>
        <w:rPr>
          <w:rFonts w:hint="eastAsia" w:ascii="Times New Roman" w:cs="Times New Roman"/>
          <w:color w:val="auto"/>
          <w:sz w:val="28"/>
          <w:szCs w:val="28"/>
        </w:rPr>
        <w:t>3</w:t>
      </w:r>
      <w:r>
        <w:rPr>
          <w:rFonts w:hint="eastAsia" w:ascii="Times New Roman" w:cs="Times New Roman"/>
          <w:color w:val="auto"/>
          <w:sz w:val="28"/>
          <w:szCs w:val="28"/>
          <w:lang w:eastAsia="zh-CN"/>
        </w:rPr>
        <w:t>、</w:t>
      </w:r>
      <w:r>
        <w:rPr>
          <w:rFonts w:hint="eastAsia" w:ascii="Times New Roman" w:cs="Times New Roman"/>
          <w:color w:val="auto"/>
          <w:sz w:val="28"/>
          <w:szCs w:val="28"/>
        </w:rPr>
        <w:t>综合考核总成绩计算办法</w:t>
      </w:r>
    </w:p>
    <w:p>
      <w:pPr>
        <w:widowControl/>
        <w:spacing w:line="360" w:lineRule="auto"/>
        <w:ind w:firstLine="420"/>
        <w:jc w:val="left"/>
        <w:rPr>
          <w:rFonts w:hint="eastAsia" w:hAnsi="宋体"/>
          <w:sz w:val="28"/>
          <w:szCs w:val="28"/>
        </w:rPr>
      </w:pPr>
      <w:r>
        <w:rPr>
          <w:rFonts w:hint="eastAsia"/>
          <w:kern w:val="0"/>
          <w:sz w:val="28"/>
          <w:szCs w:val="28"/>
          <w:lang w:val="en-US" w:eastAsia="zh-CN"/>
        </w:rPr>
        <w:t>综合成绩=综合笔试成绩×50%+综合面试成绩×50%</w:t>
      </w:r>
      <w:r>
        <w:rPr>
          <w:rFonts w:hint="eastAsia" w:hAnsi="宋体"/>
          <w:sz w:val="28"/>
          <w:szCs w:val="28"/>
        </w:rPr>
        <w:t>。</w:t>
      </w:r>
    </w:p>
    <w:p>
      <w:pPr>
        <w:widowControl/>
        <w:spacing w:line="360" w:lineRule="auto"/>
        <w:ind w:firstLine="420"/>
        <w:jc w:val="left"/>
        <w:rPr>
          <w:rFonts w:hint="eastAsia" w:hAnsi="宋体" w:eastAsia="宋体"/>
          <w:sz w:val="28"/>
          <w:szCs w:val="28"/>
          <w:lang w:eastAsia="zh-CN"/>
        </w:rPr>
      </w:pPr>
      <w:r>
        <w:rPr>
          <w:rFonts w:hint="eastAsia" w:hAnsi="宋体"/>
          <w:sz w:val="28"/>
          <w:szCs w:val="28"/>
          <w:lang w:eastAsia="zh-CN"/>
        </w:rPr>
        <w:t>综合成绩以二级学科及考生报考导师为单位分别排序推荐。</w:t>
      </w:r>
    </w:p>
    <w:p>
      <w:pPr>
        <w:spacing w:line="360" w:lineRule="auto"/>
        <w:rPr>
          <w:rFonts w:hint="eastAsia" w:ascii="宋体" w:hAnsi="宋体"/>
          <w:b/>
          <w:sz w:val="28"/>
          <w:szCs w:val="28"/>
          <w:lang w:eastAsia="zh-CN"/>
        </w:rPr>
      </w:pPr>
      <w:r>
        <w:rPr>
          <w:rFonts w:hint="eastAsia" w:ascii="宋体" w:hAnsi="宋体"/>
          <w:b/>
          <w:sz w:val="28"/>
          <w:szCs w:val="28"/>
          <w:lang w:eastAsia="zh-CN"/>
        </w:rPr>
        <w:t>五、录取和调剂</w:t>
      </w:r>
    </w:p>
    <w:p>
      <w:pPr>
        <w:widowControl/>
        <w:numPr>
          <w:ilvl w:val="0"/>
          <w:numId w:val="0"/>
        </w:numPr>
        <w:spacing w:line="360" w:lineRule="auto"/>
        <w:ind w:firstLine="560"/>
        <w:jc w:val="left"/>
        <w:rPr>
          <w:rFonts w:hint="eastAsia" w:hAnsi="宋体"/>
          <w:sz w:val="28"/>
          <w:szCs w:val="28"/>
          <w:lang w:val="en-US" w:eastAsia="zh-CN"/>
        </w:rPr>
      </w:pPr>
      <w:r>
        <w:rPr>
          <w:rFonts w:hint="eastAsia" w:hAnsi="宋体"/>
          <w:sz w:val="28"/>
          <w:szCs w:val="28"/>
          <w:lang w:val="en-US" w:eastAsia="zh-CN"/>
        </w:rPr>
        <w:t>学院召开招生工作领导小组和综合考核小组会，根据</w:t>
      </w:r>
      <w:r>
        <w:rPr>
          <w:rFonts w:hint="eastAsia" w:ascii="宋体" w:hAnsi="宋体"/>
          <w:sz w:val="28"/>
          <w:szCs w:val="28"/>
        </w:rPr>
        <w:t>《关于开展201</w:t>
      </w:r>
      <w:r>
        <w:rPr>
          <w:rFonts w:hint="eastAsia" w:ascii="宋体" w:hAnsi="宋体"/>
          <w:sz w:val="28"/>
          <w:szCs w:val="28"/>
          <w:lang w:val="en-US" w:eastAsia="zh-CN"/>
        </w:rPr>
        <w:t>9</w:t>
      </w:r>
      <w:r>
        <w:rPr>
          <w:rFonts w:hint="eastAsia" w:ascii="宋体" w:hAnsi="宋体"/>
          <w:sz w:val="28"/>
          <w:szCs w:val="28"/>
        </w:rPr>
        <w:t>年度博士研究生指导教师岗位审核的通知》</w:t>
      </w:r>
      <w:r>
        <w:rPr>
          <w:rFonts w:hint="eastAsia" w:ascii="宋体" w:hAnsi="宋体"/>
          <w:sz w:val="28"/>
          <w:szCs w:val="28"/>
          <w:lang w:eastAsia="zh-CN"/>
        </w:rPr>
        <w:t>的精神及学院201</w:t>
      </w:r>
      <w:r>
        <w:rPr>
          <w:rFonts w:hint="eastAsia" w:ascii="宋体" w:hAnsi="宋体"/>
          <w:sz w:val="28"/>
          <w:szCs w:val="28"/>
          <w:lang w:val="en-US" w:eastAsia="zh-CN"/>
        </w:rPr>
        <w:t>9</w:t>
      </w:r>
      <w:r>
        <w:rPr>
          <w:rFonts w:hint="eastAsia" w:ascii="宋体" w:hAnsi="宋体"/>
          <w:sz w:val="28"/>
          <w:szCs w:val="28"/>
          <w:lang w:eastAsia="zh-CN"/>
        </w:rPr>
        <w:t>年博士生招生计划分配方案确定的计划指标数，</w:t>
      </w:r>
      <w:r>
        <w:rPr>
          <w:rFonts w:hint="eastAsia" w:hAnsi="宋体"/>
          <w:sz w:val="28"/>
          <w:szCs w:val="28"/>
          <w:lang w:val="en-US" w:eastAsia="zh-CN"/>
        </w:rPr>
        <w:t>以报考导师为单位按照考生综合成绩排序择优录取。</w:t>
      </w:r>
    </w:p>
    <w:p>
      <w:pPr>
        <w:widowControl/>
        <w:numPr>
          <w:ilvl w:val="0"/>
          <w:numId w:val="0"/>
        </w:numPr>
        <w:spacing w:line="360" w:lineRule="auto"/>
        <w:ind w:firstLine="560"/>
        <w:jc w:val="left"/>
        <w:rPr>
          <w:rFonts w:hint="eastAsia" w:hAnsi="宋体"/>
          <w:sz w:val="28"/>
          <w:szCs w:val="28"/>
          <w:lang w:val="en-US" w:eastAsia="zh-CN"/>
        </w:rPr>
      </w:pPr>
      <w:r>
        <w:rPr>
          <w:rFonts w:hint="eastAsia" w:hAnsi="宋体"/>
          <w:sz w:val="28"/>
          <w:szCs w:val="28"/>
          <w:lang w:val="en-US" w:eastAsia="zh-CN"/>
        </w:rPr>
        <w:t>无合格生源的导师，优先调剂同一二级学科合格生源数大于招生数的导师录取后余下的综合成绩排名靠前的考生。如考生不同意调剂，则视为自动放弃录取资格，由后面的依次递补。</w:t>
      </w:r>
    </w:p>
    <w:p>
      <w:pPr>
        <w:widowControl/>
        <w:numPr>
          <w:ilvl w:val="0"/>
          <w:numId w:val="0"/>
        </w:numPr>
        <w:spacing w:line="360" w:lineRule="auto"/>
        <w:ind w:firstLine="560"/>
        <w:jc w:val="left"/>
        <w:rPr>
          <w:rFonts w:hint="eastAsia" w:hAnsi="宋体"/>
          <w:sz w:val="28"/>
          <w:szCs w:val="28"/>
          <w:lang w:val="en-US" w:eastAsia="zh-CN"/>
        </w:rPr>
      </w:pPr>
      <w:r>
        <w:rPr>
          <w:rFonts w:hint="eastAsia" w:hAnsi="宋体"/>
          <w:sz w:val="28"/>
          <w:szCs w:val="28"/>
          <w:lang w:val="en-US" w:eastAsia="zh-CN"/>
        </w:rPr>
        <w:t>无合格生源，导师也不同意接收调剂生，其招生计划由学院</w:t>
      </w:r>
      <w:r>
        <w:rPr>
          <w:rFonts w:hint="eastAsia" w:ascii="宋体" w:hAnsi="宋体"/>
          <w:sz w:val="28"/>
          <w:szCs w:val="28"/>
          <w:lang w:val="en-US" w:eastAsia="zh-CN"/>
        </w:rPr>
        <w:t>博士</w:t>
      </w:r>
      <w:r>
        <w:rPr>
          <w:rFonts w:hint="eastAsia" w:hAnsi="宋体"/>
          <w:sz w:val="28"/>
          <w:szCs w:val="28"/>
          <w:lang w:val="en-US" w:eastAsia="zh-CN"/>
        </w:rPr>
        <w:t>招生工作领导小组和综合考核小组讨论后分配到合格生源较多的导师名下。</w:t>
      </w:r>
    </w:p>
    <w:p>
      <w:pPr>
        <w:numPr>
          <w:ilvl w:val="0"/>
          <w:numId w:val="0"/>
        </w:numPr>
        <w:spacing w:line="360" w:lineRule="auto"/>
        <w:rPr>
          <w:rFonts w:hint="eastAsia" w:ascii="宋体" w:hAnsi="宋体"/>
          <w:b/>
          <w:sz w:val="28"/>
          <w:szCs w:val="28"/>
          <w:lang w:val="en-US" w:eastAsia="zh-CN"/>
        </w:rPr>
      </w:pPr>
      <w:r>
        <w:rPr>
          <w:rFonts w:hint="eastAsia" w:ascii="宋体" w:hAnsi="宋体"/>
          <w:b/>
          <w:sz w:val="28"/>
          <w:szCs w:val="28"/>
          <w:lang w:val="en-US" w:eastAsia="zh-CN"/>
        </w:rPr>
        <w:t>六、监督及申诉渠道</w:t>
      </w:r>
    </w:p>
    <w:p>
      <w:pPr>
        <w:ind w:firstLine="480"/>
        <w:rPr>
          <w:rFonts w:hint="eastAsia" w:hAnsi="宋体" w:asciiTheme="minorHAnsi" w:eastAsiaTheme="minorEastAsia" w:cstheme="minorBidi"/>
          <w:b w:val="0"/>
          <w:bCs w:val="0"/>
          <w:kern w:val="2"/>
          <w:sz w:val="28"/>
          <w:szCs w:val="28"/>
          <w:lang w:val="en-US" w:eastAsia="zh-CN" w:bidi="ar-SA"/>
        </w:rPr>
      </w:pPr>
      <w:r>
        <w:rPr>
          <w:rFonts w:hint="eastAsia" w:hAnsi="宋体" w:asciiTheme="minorHAnsi" w:eastAsiaTheme="minorEastAsia" w:cstheme="minorBidi"/>
          <w:b w:val="0"/>
          <w:bCs w:val="0"/>
          <w:kern w:val="2"/>
          <w:sz w:val="28"/>
          <w:szCs w:val="28"/>
          <w:lang w:val="en-US" w:eastAsia="zh-CN" w:bidi="ar-SA"/>
        </w:rPr>
        <w:t>1、为保证博士招生申请审核的顺利进行，切实做到公平、公正、公开，由学院（部）党委领导，成立审核工作监督组，监督组成员构成如下：</w:t>
      </w:r>
    </w:p>
    <w:p>
      <w:pPr>
        <w:ind w:firstLine="480"/>
        <w:rPr>
          <w:rFonts w:hint="eastAsia" w:hAnsi="宋体" w:asciiTheme="minorHAnsi" w:eastAsiaTheme="minorEastAsia" w:cstheme="minorBidi"/>
          <w:b w:val="0"/>
          <w:bCs w:val="0"/>
          <w:kern w:val="2"/>
          <w:sz w:val="28"/>
          <w:szCs w:val="28"/>
          <w:lang w:val="en-US" w:eastAsia="zh-CN" w:bidi="ar-SA"/>
        </w:rPr>
      </w:pPr>
      <w:r>
        <w:rPr>
          <w:rFonts w:hint="eastAsia" w:hAnsi="宋体" w:asciiTheme="minorHAnsi" w:eastAsiaTheme="minorEastAsia" w:cstheme="minorBidi"/>
          <w:b w:val="0"/>
          <w:bCs w:val="0"/>
          <w:kern w:val="2"/>
          <w:sz w:val="28"/>
          <w:szCs w:val="28"/>
          <w:lang w:val="en-US" w:eastAsia="zh-CN" w:bidi="ar-SA"/>
        </w:rPr>
        <w:t>组    长：党委书记</w:t>
      </w:r>
    </w:p>
    <w:p>
      <w:pPr>
        <w:ind w:firstLine="480"/>
        <w:rPr>
          <w:rFonts w:hint="eastAsia" w:hAnsi="宋体" w:asciiTheme="minorHAnsi" w:eastAsiaTheme="minorEastAsia" w:cstheme="minorBidi"/>
          <w:b w:val="0"/>
          <w:bCs w:val="0"/>
          <w:kern w:val="2"/>
          <w:sz w:val="28"/>
          <w:szCs w:val="28"/>
          <w:lang w:val="en-US" w:eastAsia="zh-CN" w:bidi="ar-SA"/>
        </w:rPr>
      </w:pPr>
      <w:r>
        <w:rPr>
          <w:rFonts w:hint="eastAsia" w:hAnsi="宋体" w:asciiTheme="minorHAnsi" w:eastAsiaTheme="minorEastAsia" w:cstheme="minorBidi"/>
          <w:b w:val="0"/>
          <w:bCs w:val="0"/>
          <w:kern w:val="2"/>
          <w:sz w:val="28"/>
          <w:szCs w:val="28"/>
          <w:lang w:val="en-US" w:eastAsia="zh-CN" w:bidi="ar-SA"/>
        </w:rPr>
        <w:t>副 组 长：纪委书记</w:t>
      </w:r>
    </w:p>
    <w:p>
      <w:pPr>
        <w:ind w:firstLine="480"/>
        <w:rPr>
          <w:rFonts w:hint="eastAsia" w:hAnsi="宋体" w:asciiTheme="minorHAnsi" w:eastAsiaTheme="minorEastAsia" w:cstheme="minorBidi"/>
          <w:b w:val="0"/>
          <w:bCs w:val="0"/>
          <w:kern w:val="2"/>
          <w:sz w:val="28"/>
          <w:szCs w:val="28"/>
          <w:lang w:val="en-US" w:eastAsia="zh-CN" w:bidi="ar-SA"/>
        </w:rPr>
      </w:pPr>
      <w:r>
        <w:rPr>
          <w:rFonts w:hint="eastAsia" w:hAnsi="宋体" w:asciiTheme="minorHAnsi" w:eastAsiaTheme="minorEastAsia" w:cstheme="minorBidi"/>
          <w:b w:val="0"/>
          <w:bCs w:val="0"/>
          <w:kern w:val="2"/>
          <w:sz w:val="28"/>
          <w:szCs w:val="28"/>
          <w:lang w:val="en-US" w:eastAsia="zh-CN" w:bidi="ar-SA"/>
        </w:rPr>
        <w:t>成    员：学院博士生导师</w:t>
      </w:r>
    </w:p>
    <w:p>
      <w:pPr>
        <w:numPr>
          <w:ilvl w:val="0"/>
          <w:numId w:val="3"/>
        </w:numPr>
        <w:ind w:firstLine="480"/>
        <w:rPr>
          <w:rFonts w:hint="eastAsia" w:hAnsi="宋体" w:asciiTheme="minorHAnsi" w:eastAsiaTheme="minorEastAsia" w:cstheme="minorBidi"/>
          <w:b w:val="0"/>
          <w:bCs w:val="0"/>
          <w:kern w:val="2"/>
          <w:sz w:val="28"/>
          <w:szCs w:val="28"/>
          <w:lang w:val="en-US" w:eastAsia="zh-CN" w:bidi="ar-SA"/>
        </w:rPr>
      </w:pPr>
      <w:r>
        <w:rPr>
          <w:rFonts w:hint="eastAsia" w:hAnsi="宋体" w:asciiTheme="minorHAnsi" w:eastAsiaTheme="minorEastAsia" w:cstheme="minorBidi"/>
          <w:b w:val="0"/>
          <w:bCs w:val="0"/>
          <w:kern w:val="2"/>
          <w:sz w:val="28"/>
          <w:szCs w:val="28"/>
          <w:lang w:val="en-US" w:eastAsia="zh-CN" w:bidi="ar-SA"/>
        </w:rPr>
        <w:t>监督</w:t>
      </w:r>
      <w:r>
        <w:rPr>
          <w:rFonts w:hint="eastAsia" w:hAnsi="宋体" w:cstheme="minorBidi"/>
          <w:b w:val="0"/>
          <w:bCs w:val="0"/>
          <w:kern w:val="2"/>
          <w:sz w:val="28"/>
          <w:szCs w:val="28"/>
          <w:lang w:val="en-US" w:eastAsia="zh-CN" w:bidi="ar-SA"/>
        </w:rPr>
        <w:t>及申诉</w:t>
      </w:r>
      <w:r>
        <w:rPr>
          <w:rFonts w:hint="eastAsia" w:hAnsi="宋体" w:asciiTheme="minorHAnsi" w:eastAsiaTheme="minorEastAsia" w:cstheme="minorBidi"/>
          <w:b w:val="0"/>
          <w:bCs w:val="0"/>
          <w:kern w:val="2"/>
          <w:sz w:val="28"/>
          <w:szCs w:val="28"/>
          <w:lang w:val="en-US" w:eastAsia="zh-CN" w:bidi="ar-SA"/>
        </w:rPr>
        <w:t>电话</w:t>
      </w:r>
      <w:r>
        <w:rPr>
          <w:rFonts w:hint="eastAsia" w:hAnsi="宋体" w:cstheme="minorBidi"/>
          <w:b w:val="0"/>
          <w:bCs w:val="0"/>
          <w:kern w:val="2"/>
          <w:sz w:val="28"/>
          <w:szCs w:val="28"/>
          <w:lang w:val="en-US" w:eastAsia="zh-CN" w:bidi="ar-SA"/>
        </w:rPr>
        <w:t>、</w:t>
      </w:r>
      <w:r>
        <w:rPr>
          <w:rFonts w:hint="eastAsia" w:hAnsi="宋体" w:asciiTheme="minorHAnsi" w:eastAsiaTheme="minorEastAsia" w:cstheme="minorBidi"/>
          <w:b w:val="0"/>
          <w:bCs w:val="0"/>
          <w:kern w:val="2"/>
          <w:sz w:val="28"/>
          <w:szCs w:val="28"/>
          <w:lang w:val="en-US" w:eastAsia="zh-CN" w:bidi="ar-SA"/>
        </w:rPr>
        <w:t>邮箱</w:t>
      </w:r>
    </w:p>
    <w:p>
      <w:pPr>
        <w:numPr>
          <w:ilvl w:val="0"/>
          <w:numId w:val="0"/>
        </w:numPr>
        <w:rPr>
          <w:rFonts w:hint="eastAsia" w:hAnsi="宋体" w:cstheme="minorBidi"/>
          <w:b w:val="0"/>
          <w:bCs w:val="0"/>
          <w:kern w:val="2"/>
          <w:sz w:val="28"/>
          <w:szCs w:val="28"/>
          <w:lang w:val="en-US" w:eastAsia="zh-CN" w:bidi="ar-SA"/>
        </w:rPr>
      </w:pPr>
      <w:r>
        <w:rPr>
          <w:rFonts w:hint="eastAsia" w:hAnsi="宋体" w:cstheme="minorBidi"/>
          <w:b w:val="0"/>
          <w:bCs w:val="0"/>
          <w:kern w:val="2"/>
          <w:sz w:val="28"/>
          <w:szCs w:val="28"/>
          <w:lang w:val="en-US" w:eastAsia="zh-CN" w:bidi="ar-SA"/>
        </w:rPr>
        <w:t xml:space="preserve">      </w:t>
      </w:r>
      <w:r>
        <w:rPr>
          <w:rFonts w:hint="eastAsia" w:hAnsi="宋体" w:asciiTheme="minorHAnsi" w:eastAsiaTheme="minorEastAsia" w:cstheme="minorBidi"/>
          <w:b w:val="0"/>
          <w:bCs w:val="0"/>
          <w:kern w:val="2"/>
          <w:sz w:val="28"/>
          <w:szCs w:val="28"/>
          <w:lang w:val="en-US" w:eastAsia="zh-CN" w:bidi="ar-SA"/>
        </w:rPr>
        <w:t>电话：023-6825</w:t>
      </w:r>
      <w:r>
        <w:rPr>
          <w:rFonts w:hint="eastAsia" w:hAnsi="宋体" w:cstheme="minorBidi"/>
          <w:b w:val="0"/>
          <w:bCs w:val="0"/>
          <w:kern w:val="2"/>
          <w:sz w:val="28"/>
          <w:szCs w:val="28"/>
          <w:lang w:val="en-US" w:eastAsia="zh-CN" w:bidi="ar-SA"/>
        </w:rPr>
        <w:t xml:space="preserve">0879 </w:t>
      </w:r>
    </w:p>
    <w:p>
      <w:pPr>
        <w:ind w:firstLine="480"/>
        <w:rPr>
          <w:rFonts w:hint="eastAsia" w:ascii="宋体" w:hAnsi="宋体"/>
          <w:sz w:val="28"/>
          <w:szCs w:val="28"/>
          <w:lang w:val="en-US" w:eastAsia="zh-CN"/>
        </w:rPr>
      </w:pPr>
      <w:r>
        <w:rPr>
          <w:rFonts w:hint="eastAsia" w:hAnsi="宋体" w:asciiTheme="minorHAnsi" w:eastAsiaTheme="minorEastAsia" w:cstheme="minorBidi"/>
          <w:b w:val="0"/>
          <w:bCs w:val="0"/>
          <w:kern w:val="2"/>
          <w:sz w:val="28"/>
          <w:szCs w:val="28"/>
          <w:lang w:val="en-US" w:eastAsia="zh-CN" w:bidi="ar-SA"/>
        </w:rPr>
        <w:t>邮箱：544022238@qq.com</w:t>
      </w:r>
      <w:r>
        <w:rPr>
          <w:rFonts w:hint="eastAsia" w:ascii="宋体" w:hAnsi="宋体"/>
          <w:sz w:val="28"/>
          <w:szCs w:val="28"/>
          <w:lang w:val="en-US" w:eastAsia="zh-CN"/>
        </w:rPr>
        <w:t xml:space="preserve">                                           </w:t>
      </w:r>
    </w:p>
    <w:p>
      <w:pPr>
        <w:spacing w:line="360" w:lineRule="auto"/>
        <w:rPr>
          <w:rFonts w:hint="eastAsia" w:ascii="宋体" w:hAnsi="宋体"/>
          <w:b/>
          <w:sz w:val="28"/>
          <w:szCs w:val="28"/>
          <w:lang w:val="en-US" w:eastAsia="zh-CN"/>
        </w:rPr>
      </w:pPr>
      <w:r>
        <w:rPr>
          <w:rFonts w:hint="eastAsia" w:ascii="宋体" w:hAnsi="宋体"/>
          <w:b/>
          <w:sz w:val="28"/>
          <w:szCs w:val="28"/>
          <w:lang w:val="en-US" w:eastAsia="zh-CN"/>
        </w:rPr>
        <w:t>七、材料邮寄地址</w:t>
      </w:r>
    </w:p>
    <w:p>
      <w:pPr>
        <w:widowControl/>
        <w:numPr>
          <w:ilvl w:val="0"/>
          <w:numId w:val="0"/>
        </w:numPr>
        <w:spacing w:line="360" w:lineRule="auto"/>
        <w:ind w:firstLine="560"/>
        <w:jc w:val="left"/>
        <w:rPr>
          <w:rFonts w:hint="eastAsia" w:ascii="宋体" w:hAnsi="宋体"/>
          <w:sz w:val="28"/>
          <w:szCs w:val="28"/>
          <w:lang w:val="en-US" w:eastAsia="zh-CN"/>
        </w:rPr>
      </w:pPr>
      <w:r>
        <w:rPr>
          <w:rFonts w:hint="eastAsia" w:ascii="宋体" w:hAnsi="宋体"/>
          <w:sz w:val="28"/>
          <w:szCs w:val="28"/>
          <w:lang w:val="en-US" w:eastAsia="zh-CN"/>
        </w:rPr>
        <w:t>地址：重庆市北碚区天生路1号西南大学园艺园林学院研究生教务办公室33教412室</w:t>
      </w:r>
    </w:p>
    <w:p>
      <w:pPr>
        <w:widowControl/>
        <w:numPr>
          <w:ilvl w:val="0"/>
          <w:numId w:val="0"/>
        </w:numPr>
        <w:spacing w:line="360" w:lineRule="auto"/>
        <w:ind w:firstLine="560"/>
        <w:jc w:val="left"/>
        <w:rPr>
          <w:rFonts w:hint="eastAsia" w:ascii="宋体" w:hAnsi="宋体"/>
          <w:sz w:val="28"/>
          <w:szCs w:val="28"/>
          <w:lang w:val="en-US" w:eastAsia="zh-CN"/>
        </w:rPr>
      </w:pPr>
      <w:r>
        <w:rPr>
          <w:rFonts w:hint="eastAsia" w:ascii="宋体" w:hAnsi="宋体"/>
          <w:sz w:val="28"/>
          <w:szCs w:val="28"/>
          <w:lang w:val="en-US" w:eastAsia="zh-CN"/>
        </w:rPr>
        <w:t>联系人：刘老师</w:t>
      </w:r>
    </w:p>
    <w:p>
      <w:pPr>
        <w:widowControl/>
        <w:numPr>
          <w:ilvl w:val="0"/>
          <w:numId w:val="0"/>
        </w:numPr>
        <w:spacing w:line="360" w:lineRule="auto"/>
        <w:ind w:firstLine="560"/>
        <w:jc w:val="left"/>
        <w:rPr>
          <w:rFonts w:hint="eastAsia" w:ascii="宋体" w:hAnsi="宋体"/>
          <w:sz w:val="28"/>
          <w:szCs w:val="28"/>
          <w:lang w:val="en-US" w:eastAsia="zh-CN"/>
        </w:rPr>
      </w:pPr>
      <w:r>
        <w:rPr>
          <w:rFonts w:hint="eastAsia" w:ascii="宋体" w:hAnsi="宋体"/>
          <w:sz w:val="28"/>
          <w:szCs w:val="28"/>
          <w:lang w:val="en-US" w:eastAsia="zh-CN"/>
        </w:rPr>
        <w:t xml:space="preserve">联系电话：023-68251037  </w:t>
      </w:r>
    </w:p>
    <w:p>
      <w:pPr>
        <w:widowControl/>
        <w:numPr>
          <w:ilvl w:val="0"/>
          <w:numId w:val="0"/>
        </w:numPr>
        <w:spacing w:line="360" w:lineRule="auto"/>
        <w:ind w:firstLine="560"/>
        <w:jc w:val="left"/>
        <w:rPr>
          <w:rFonts w:hint="eastAsia" w:ascii="宋体" w:hAnsi="宋体"/>
          <w:sz w:val="28"/>
          <w:szCs w:val="28"/>
          <w:lang w:val="en-US" w:eastAsia="zh-CN"/>
        </w:rPr>
      </w:pPr>
      <w:r>
        <w:rPr>
          <w:rFonts w:hint="eastAsia" w:ascii="宋体" w:hAnsi="宋体"/>
          <w:sz w:val="28"/>
          <w:szCs w:val="28"/>
          <w:lang w:val="en-US" w:eastAsia="zh-CN"/>
        </w:rPr>
        <w:t>邮编：400715</w:t>
      </w:r>
    </w:p>
    <w:p>
      <w:pPr>
        <w:widowControl/>
        <w:numPr>
          <w:ilvl w:val="0"/>
          <w:numId w:val="0"/>
        </w:numPr>
        <w:spacing w:line="360" w:lineRule="auto"/>
        <w:ind w:firstLine="560"/>
        <w:jc w:val="left"/>
        <w:rPr>
          <w:rFonts w:hint="eastAsia" w:ascii="宋体" w:hAnsi="宋体"/>
          <w:sz w:val="28"/>
          <w:szCs w:val="28"/>
        </w:rPr>
      </w:pPr>
      <w:r>
        <w:rPr>
          <w:rFonts w:hint="eastAsia" w:ascii="宋体" w:hAnsi="宋体"/>
          <w:sz w:val="28"/>
          <w:szCs w:val="28"/>
          <w:lang w:val="en-US" w:eastAsia="zh-CN"/>
        </w:rPr>
        <w:t xml:space="preserve">                                                  园艺园林学院    </w:t>
      </w:r>
      <w:r>
        <w:rPr>
          <w:rFonts w:hint="eastAsia" w:ascii="宋体" w:hAnsi="宋体"/>
          <w:sz w:val="28"/>
          <w:szCs w:val="28"/>
        </w:rPr>
        <w:t xml:space="preserve">    </w:t>
      </w:r>
    </w:p>
    <w:p>
      <w:pPr>
        <w:widowControl/>
        <w:adjustRightInd w:val="0"/>
        <w:snapToGrid w:val="0"/>
        <w:spacing w:line="360" w:lineRule="auto"/>
        <w:ind w:firstLine="560" w:firstLineChars="200"/>
        <w:jc w:val="right"/>
        <w:rPr>
          <w:rFonts w:hint="eastAsia" w:ascii="宋体" w:hAnsi="宋体"/>
          <w:sz w:val="28"/>
          <w:szCs w:val="28"/>
        </w:rPr>
        <w:sectPr>
          <w:pgSz w:w="11906" w:h="16838"/>
          <w:pgMar w:top="1440" w:right="1134" w:bottom="1474" w:left="1134" w:header="851" w:footer="992" w:gutter="0"/>
          <w:cols w:space="720" w:num="1"/>
          <w:docGrid w:type="lines" w:linePitch="312" w:charSpace="0"/>
        </w:sectPr>
      </w:pPr>
      <w:r>
        <w:rPr>
          <w:rFonts w:hint="eastAsia" w:ascii="宋体" w:hAnsi="宋体"/>
          <w:sz w:val="28"/>
          <w:szCs w:val="28"/>
        </w:rPr>
        <w:t xml:space="preserve">                                                 201</w:t>
      </w:r>
      <w:r>
        <w:rPr>
          <w:rFonts w:hint="eastAsia" w:ascii="宋体" w:hAnsi="宋体"/>
          <w:sz w:val="28"/>
          <w:szCs w:val="28"/>
          <w:lang w:val="en-US" w:eastAsia="zh-CN"/>
        </w:rPr>
        <w:t>9</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22</w:t>
      </w:r>
      <w:r>
        <w:rPr>
          <w:rFonts w:hint="eastAsia" w:ascii="宋体" w:hAnsi="宋体"/>
          <w:sz w:val="28"/>
          <w:szCs w:val="28"/>
        </w:rPr>
        <w:t>日</w:t>
      </w:r>
    </w:p>
    <w:p>
      <w:pPr>
        <w:pStyle w:val="7"/>
        <w:spacing w:line="360" w:lineRule="auto"/>
        <w:rPr>
          <w:rFonts w:hint="eastAsia" w:ascii="Times New Roman" w:cs="Times New Roman"/>
          <w:color w:val="auto"/>
          <w:sz w:val="28"/>
          <w:szCs w:val="28"/>
          <w:lang w:val="en-US" w:eastAsia="zh-CN"/>
        </w:rPr>
      </w:pPr>
      <w:r>
        <w:rPr>
          <w:rFonts w:hint="eastAsia" w:ascii="Times New Roman" w:cs="Times New Roman"/>
          <w:color w:val="auto"/>
          <w:sz w:val="28"/>
          <w:szCs w:val="28"/>
          <w:lang w:val="en-US" w:eastAsia="zh-CN"/>
        </w:rPr>
        <w:t xml:space="preserve"> 附件：</w:t>
      </w:r>
    </w:p>
    <w:p>
      <w:pPr>
        <w:pStyle w:val="7"/>
        <w:spacing w:line="360" w:lineRule="auto"/>
        <w:rPr>
          <w:rFonts w:hint="eastAsia" w:ascii="Times New Roman" w:cs="Times New Roman"/>
          <w:color w:val="auto"/>
          <w:sz w:val="28"/>
          <w:szCs w:val="28"/>
          <w:lang w:val="en-US" w:eastAsia="zh-CN"/>
        </w:rPr>
      </w:pPr>
      <w:r>
        <w:rPr>
          <w:rFonts w:hint="eastAsia" w:ascii="Times New Roman" w:cs="Times New Roman"/>
          <w:color w:val="auto"/>
          <w:sz w:val="28"/>
          <w:szCs w:val="28"/>
          <w:lang w:val="en-US" w:eastAsia="zh-CN"/>
        </w:rPr>
        <w:t xml:space="preserve">   园艺园艺林学院2019年博士研究生招生综合考核面试成绩记载表</w:t>
      </w:r>
    </w:p>
    <w:p>
      <w:pPr>
        <w:rPr>
          <w:rFonts w:hint="eastAsia"/>
          <w:b/>
          <w:bCs/>
          <w:sz w:val="24"/>
          <w:u w:val="single"/>
        </w:rPr>
      </w:pPr>
      <w:r>
        <w:rPr>
          <w:rFonts w:hint="eastAsia"/>
          <w:b/>
          <w:bCs/>
          <w:sz w:val="24"/>
          <w:lang w:val="en-US" w:eastAsia="zh-CN"/>
        </w:rPr>
        <w:t xml:space="preserve">       </w:t>
      </w:r>
      <w:r>
        <w:rPr>
          <w:rFonts w:hint="eastAsia"/>
          <w:b/>
          <w:bCs/>
          <w:sz w:val="24"/>
        </w:rPr>
        <w:t>姓名：</w:t>
      </w:r>
      <w:r>
        <w:rPr>
          <w:rFonts w:hint="eastAsia"/>
          <w:b/>
          <w:bCs/>
          <w:sz w:val="24"/>
          <w:u w:val="single"/>
        </w:rPr>
        <w:t xml:space="preserve">         </w:t>
      </w:r>
      <w:r>
        <w:rPr>
          <w:rFonts w:hint="eastAsia"/>
          <w:b/>
          <w:bCs/>
          <w:sz w:val="24"/>
          <w:u w:val="single"/>
          <w:lang w:val="en-US" w:eastAsia="zh-CN"/>
        </w:rPr>
        <w:t xml:space="preserve">       </w:t>
      </w:r>
      <w:r>
        <w:rPr>
          <w:rFonts w:hint="eastAsia"/>
          <w:b/>
          <w:bCs/>
          <w:sz w:val="24"/>
        </w:rPr>
        <w:t>性别：</w:t>
      </w:r>
      <w:r>
        <w:rPr>
          <w:rFonts w:hint="eastAsia"/>
          <w:b/>
          <w:bCs/>
          <w:sz w:val="24"/>
          <w:u w:val="single"/>
        </w:rPr>
        <w:t xml:space="preserve">              </w:t>
      </w:r>
      <w:r>
        <w:rPr>
          <w:rFonts w:hint="eastAsia"/>
          <w:b/>
          <w:bCs/>
          <w:sz w:val="24"/>
        </w:rPr>
        <w:t>报考专业：</w:t>
      </w:r>
      <w:r>
        <w:rPr>
          <w:rFonts w:hint="eastAsia"/>
          <w:b/>
          <w:bCs/>
          <w:sz w:val="24"/>
          <w:u w:val="single"/>
        </w:rPr>
        <w:t xml:space="preserve">            </w:t>
      </w:r>
      <w:r>
        <w:rPr>
          <w:rFonts w:hint="eastAsia"/>
          <w:b/>
          <w:bCs/>
          <w:sz w:val="24"/>
        </w:rPr>
        <w:t xml:space="preserve">  </w:t>
      </w:r>
    </w:p>
    <w:tbl>
      <w:tblPr>
        <w:tblStyle w:val="4"/>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2288"/>
        <w:gridCol w:w="1150"/>
        <w:gridCol w:w="1283"/>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504" w:type="dxa"/>
            <w:gridSpan w:val="2"/>
            <w:vAlign w:val="center"/>
          </w:tcPr>
          <w:p>
            <w:pPr>
              <w:jc w:val="center"/>
              <w:rPr>
                <w:rFonts w:hint="eastAsia"/>
                <w:b/>
                <w:sz w:val="28"/>
                <w:szCs w:val="28"/>
              </w:rPr>
            </w:pPr>
            <w:r>
              <w:rPr>
                <w:rFonts w:hint="eastAsia"/>
                <w:b/>
                <w:sz w:val="28"/>
                <w:szCs w:val="28"/>
                <w:lang w:eastAsia="zh-CN"/>
              </w:rPr>
              <w:t>面试</w:t>
            </w:r>
            <w:r>
              <w:rPr>
                <w:rFonts w:hint="eastAsia"/>
                <w:b/>
                <w:sz w:val="28"/>
                <w:szCs w:val="28"/>
              </w:rPr>
              <w:t>内容</w:t>
            </w:r>
          </w:p>
        </w:tc>
        <w:tc>
          <w:tcPr>
            <w:tcW w:w="1150" w:type="dxa"/>
            <w:vAlign w:val="center"/>
          </w:tcPr>
          <w:p>
            <w:pPr>
              <w:jc w:val="center"/>
              <w:rPr>
                <w:rFonts w:hint="eastAsia"/>
                <w:b/>
                <w:sz w:val="28"/>
                <w:szCs w:val="28"/>
              </w:rPr>
            </w:pPr>
            <w:r>
              <w:rPr>
                <w:rFonts w:hint="eastAsia"/>
                <w:b/>
                <w:sz w:val="28"/>
                <w:szCs w:val="28"/>
              </w:rPr>
              <w:t>总分</w:t>
            </w:r>
          </w:p>
        </w:tc>
        <w:tc>
          <w:tcPr>
            <w:tcW w:w="1283" w:type="dxa"/>
            <w:vAlign w:val="center"/>
          </w:tcPr>
          <w:p>
            <w:pPr>
              <w:jc w:val="center"/>
              <w:rPr>
                <w:rFonts w:hint="eastAsia"/>
                <w:b/>
                <w:sz w:val="28"/>
                <w:szCs w:val="28"/>
              </w:rPr>
            </w:pPr>
            <w:r>
              <w:rPr>
                <w:rFonts w:hint="eastAsia"/>
                <w:b/>
                <w:sz w:val="28"/>
                <w:szCs w:val="28"/>
              </w:rPr>
              <w:t>得分</w:t>
            </w:r>
          </w:p>
        </w:tc>
        <w:tc>
          <w:tcPr>
            <w:tcW w:w="2271" w:type="dxa"/>
            <w:vAlign w:val="center"/>
          </w:tcPr>
          <w:p>
            <w:pPr>
              <w:jc w:val="center"/>
              <w:rPr>
                <w:rFonts w:hint="eastAsia"/>
                <w:b/>
                <w:sz w:val="28"/>
                <w:szCs w:val="28"/>
              </w:rPr>
            </w:pPr>
            <w:r>
              <w:rPr>
                <w:rFonts w:hint="eastAsia"/>
                <w:b/>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1" w:hRule="atLeast"/>
          <w:jc w:val="center"/>
        </w:trPr>
        <w:tc>
          <w:tcPr>
            <w:tcW w:w="1216" w:type="dxa"/>
            <w:textDirection w:val="tbRlV"/>
            <w:vAlign w:val="center"/>
          </w:tcPr>
          <w:p>
            <w:pPr>
              <w:ind w:left="113" w:right="113"/>
              <w:jc w:val="center"/>
              <w:rPr>
                <w:rFonts w:hint="eastAsia"/>
                <w:sz w:val="24"/>
              </w:rPr>
            </w:pPr>
            <w:r>
              <w:rPr>
                <w:rFonts w:hint="eastAsia"/>
                <w:sz w:val="24"/>
              </w:rPr>
              <w:t>外语</w:t>
            </w:r>
          </w:p>
        </w:tc>
        <w:tc>
          <w:tcPr>
            <w:tcW w:w="2288" w:type="dxa"/>
            <w:vAlign w:val="center"/>
          </w:tcPr>
          <w:p>
            <w:pPr>
              <w:jc w:val="center"/>
              <w:rPr>
                <w:rFonts w:hint="eastAsia"/>
                <w:sz w:val="24"/>
              </w:rPr>
            </w:pPr>
            <w:r>
              <w:rPr>
                <w:rFonts w:hint="eastAsia"/>
                <w:sz w:val="24"/>
              </w:rPr>
              <w:t>口语测试、</w:t>
            </w:r>
          </w:p>
          <w:p>
            <w:pPr>
              <w:jc w:val="center"/>
              <w:rPr>
                <w:rFonts w:hint="eastAsia"/>
                <w:sz w:val="24"/>
              </w:rPr>
            </w:pPr>
            <w:r>
              <w:rPr>
                <w:rFonts w:hint="eastAsia"/>
                <w:sz w:val="24"/>
              </w:rPr>
              <w:t>（包括外语口语自我介绍）</w:t>
            </w:r>
          </w:p>
          <w:p>
            <w:pPr>
              <w:jc w:val="center"/>
              <w:rPr>
                <w:rFonts w:hint="eastAsia"/>
                <w:sz w:val="24"/>
              </w:rPr>
            </w:pPr>
            <w:r>
              <w:rPr>
                <w:rFonts w:hint="eastAsia"/>
                <w:sz w:val="24"/>
              </w:rPr>
              <w:t>外语听力测试</w:t>
            </w:r>
          </w:p>
        </w:tc>
        <w:tc>
          <w:tcPr>
            <w:tcW w:w="1150" w:type="dxa"/>
            <w:vAlign w:val="center"/>
          </w:tcPr>
          <w:p>
            <w:pPr>
              <w:jc w:val="center"/>
              <w:rPr>
                <w:rFonts w:hint="eastAsia"/>
                <w:sz w:val="24"/>
              </w:rPr>
            </w:pPr>
            <w:r>
              <w:rPr>
                <w:rFonts w:hint="eastAsia"/>
                <w:sz w:val="24"/>
              </w:rPr>
              <w:t>10</w:t>
            </w:r>
          </w:p>
        </w:tc>
        <w:tc>
          <w:tcPr>
            <w:tcW w:w="1283" w:type="dxa"/>
            <w:vAlign w:val="center"/>
          </w:tcPr>
          <w:p>
            <w:pPr>
              <w:jc w:val="center"/>
              <w:rPr>
                <w:rFonts w:hint="eastAsia"/>
                <w:sz w:val="24"/>
              </w:rPr>
            </w:pPr>
          </w:p>
        </w:tc>
        <w:tc>
          <w:tcPr>
            <w:tcW w:w="2271"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4" w:hRule="atLeast"/>
          <w:jc w:val="center"/>
        </w:trPr>
        <w:tc>
          <w:tcPr>
            <w:tcW w:w="1216" w:type="dxa"/>
            <w:textDirection w:val="tbRlV"/>
            <w:vAlign w:val="center"/>
          </w:tcPr>
          <w:p>
            <w:pPr>
              <w:ind w:left="113" w:right="113"/>
              <w:jc w:val="center"/>
              <w:rPr>
                <w:rFonts w:hint="eastAsia"/>
                <w:sz w:val="24"/>
              </w:rPr>
            </w:pPr>
            <w:r>
              <w:rPr>
                <w:rFonts w:hint="eastAsia"/>
                <w:sz w:val="24"/>
              </w:rPr>
              <w:t>专业基础知识</w:t>
            </w:r>
          </w:p>
        </w:tc>
        <w:tc>
          <w:tcPr>
            <w:tcW w:w="2288" w:type="dxa"/>
            <w:vAlign w:val="center"/>
          </w:tcPr>
          <w:p>
            <w:pPr>
              <w:rPr>
                <w:rFonts w:hint="eastAsia"/>
                <w:sz w:val="24"/>
              </w:rPr>
            </w:pPr>
          </w:p>
          <w:p>
            <w:pPr>
              <w:rPr>
                <w:rFonts w:hint="eastAsia"/>
                <w:sz w:val="24"/>
              </w:rPr>
            </w:pPr>
            <w:r>
              <w:rPr>
                <w:rFonts w:hint="eastAsia"/>
                <w:sz w:val="24"/>
              </w:rPr>
              <w:t>专业基础知识掌握情况、专业能力倾向</w:t>
            </w:r>
          </w:p>
          <w:p>
            <w:pPr>
              <w:rPr>
                <w:rFonts w:hint="eastAsia"/>
                <w:sz w:val="24"/>
              </w:rPr>
            </w:pPr>
          </w:p>
          <w:p>
            <w:pPr>
              <w:jc w:val="center"/>
              <w:rPr>
                <w:rFonts w:hint="eastAsia"/>
                <w:sz w:val="24"/>
              </w:rPr>
            </w:pPr>
          </w:p>
          <w:p>
            <w:pPr>
              <w:jc w:val="center"/>
              <w:rPr>
                <w:rFonts w:hint="eastAsia"/>
                <w:sz w:val="24"/>
              </w:rPr>
            </w:pPr>
          </w:p>
        </w:tc>
        <w:tc>
          <w:tcPr>
            <w:tcW w:w="1150" w:type="dxa"/>
            <w:vAlign w:val="center"/>
          </w:tcPr>
          <w:p>
            <w:pPr>
              <w:jc w:val="center"/>
              <w:rPr>
                <w:rFonts w:hint="eastAsia" w:eastAsiaTheme="minorEastAsia"/>
                <w:sz w:val="24"/>
                <w:lang w:eastAsia="zh-CN"/>
              </w:rPr>
            </w:pPr>
            <w:r>
              <w:rPr>
                <w:rFonts w:hint="eastAsia"/>
                <w:sz w:val="24"/>
                <w:lang w:val="en-US" w:eastAsia="zh-CN"/>
              </w:rPr>
              <w:t>25</w:t>
            </w:r>
          </w:p>
        </w:tc>
        <w:tc>
          <w:tcPr>
            <w:tcW w:w="1283" w:type="dxa"/>
            <w:vAlign w:val="center"/>
          </w:tcPr>
          <w:p>
            <w:pPr>
              <w:jc w:val="center"/>
              <w:rPr>
                <w:rFonts w:hint="eastAsia"/>
                <w:sz w:val="24"/>
              </w:rPr>
            </w:pPr>
          </w:p>
        </w:tc>
        <w:tc>
          <w:tcPr>
            <w:tcW w:w="2271"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5" w:hRule="atLeast"/>
          <w:jc w:val="center"/>
        </w:trPr>
        <w:tc>
          <w:tcPr>
            <w:tcW w:w="1216" w:type="dxa"/>
            <w:textDirection w:val="tbRlV"/>
            <w:vAlign w:val="center"/>
          </w:tcPr>
          <w:p>
            <w:pPr>
              <w:ind w:left="113" w:right="113"/>
              <w:jc w:val="center"/>
              <w:rPr>
                <w:rFonts w:hint="eastAsia"/>
                <w:sz w:val="24"/>
              </w:rPr>
            </w:pPr>
            <w:r>
              <w:rPr>
                <w:rFonts w:hint="eastAsia"/>
                <w:sz w:val="24"/>
              </w:rPr>
              <w:t>科研创新能力</w:t>
            </w:r>
          </w:p>
        </w:tc>
        <w:tc>
          <w:tcPr>
            <w:tcW w:w="2288" w:type="dxa"/>
            <w:vAlign w:val="center"/>
          </w:tcPr>
          <w:p>
            <w:pPr>
              <w:rPr>
                <w:rFonts w:hint="eastAsia"/>
                <w:sz w:val="24"/>
              </w:rPr>
            </w:pPr>
            <w:r>
              <w:rPr>
                <w:rFonts w:hint="eastAsia"/>
                <w:sz w:val="24"/>
              </w:rPr>
              <w:t>对本学科国内外研究动态的了解情况、科研创新能力及综合潜能</w:t>
            </w:r>
          </w:p>
          <w:p>
            <w:pPr>
              <w:jc w:val="center"/>
              <w:rPr>
                <w:rFonts w:hint="eastAsia"/>
                <w:sz w:val="24"/>
              </w:rPr>
            </w:pPr>
          </w:p>
        </w:tc>
        <w:tc>
          <w:tcPr>
            <w:tcW w:w="1150" w:type="dxa"/>
            <w:vAlign w:val="center"/>
          </w:tcPr>
          <w:p>
            <w:pPr>
              <w:jc w:val="center"/>
              <w:rPr>
                <w:rFonts w:hint="eastAsia" w:eastAsia="宋体"/>
                <w:sz w:val="24"/>
                <w:lang w:eastAsia="zh-CN"/>
              </w:rPr>
            </w:pPr>
            <w:r>
              <w:rPr>
                <w:rFonts w:hint="eastAsia"/>
                <w:sz w:val="24"/>
                <w:lang w:val="en-US" w:eastAsia="zh-CN"/>
              </w:rPr>
              <w:t>30</w:t>
            </w:r>
          </w:p>
        </w:tc>
        <w:tc>
          <w:tcPr>
            <w:tcW w:w="1283" w:type="dxa"/>
            <w:vAlign w:val="center"/>
          </w:tcPr>
          <w:p>
            <w:pPr>
              <w:jc w:val="center"/>
              <w:rPr>
                <w:rFonts w:hint="eastAsia"/>
                <w:sz w:val="24"/>
              </w:rPr>
            </w:pPr>
          </w:p>
        </w:tc>
        <w:tc>
          <w:tcPr>
            <w:tcW w:w="2271"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5" w:hRule="atLeast"/>
          <w:jc w:val="center"/>
        </w:trPr>
        <w:tc>
          <w:tcPr>
            <w:tcW w:w="1216" w:type="dxa"/>
            <w:textDirection w:val="tbRlV"/>
            <w:vAlign w:val="center"/>
          </w:tcPr>
          <w:p>
            <w:pPr>
              <w:ind w:left="113" w:right="113"/>
              <w:jc w:val="center"/>
              <w:rPr>
                <w:rFonts w:hint="eastAsia" w:eastAsia="宋体"/>
                <w:sz w:val="24"/>
                <w:lang w:eastAsia="zh-CN"/>
              </w:rPr>
            </w:pPr>
            <w:r>
              <w:rPr>
                <w:rFonts w:hint="eastAsia"/>
                <w:sz w:val="24"/>
                <w:lang w:eastAsia="zh-CN"/>
              </w:rPr>
              <w:t>学术研究计划</w:t>
            </w:r>
          </w:p>
        </w:tc>
        <w:tc>
          <w:tcPr>
            <w:tcW w:w="2288" w:type="dxa"/>
            <w:vAlign w:val="center"/>
          </w:tcPr>
          <w:p>
            <w:pPr>
              <w:jc w:val="center"/>
              <w:rPr>
                <w:rFonts w:hint="eastAsia" w:eastAsia="宋体"/>
                <w:sz w:val="24"/>
                <w:lang w:eastAsia="zh-CN"/>
              </w:rPr>
            </w:pPr>
            <w:r>
              <w:rPr>
                <w:rFonts w:hint="eastAsia"/>
                <w:sz w:val="24"/>
                <w:lang w:eastAsia="zh-CN"/>
              </w:rPr>
              <w:t>博士入学研究计划</w:t>
            </w:r>
          </w:p>
        </w:tc>
        <w:tc>
          <w:tcPr>
            <w:tcW w:w="1150" w:type="dxa"/>
            <w:vAlign w:val="center"/>
          </w:tcPr>
          <w:p>
            <w:pPr>
              <w:jc w:val="center"/>
              <w:rPr>
                <w:rFonts w:hint="eastAsia" w:eastAsia="宋体"/>
                <w:sz w:val="24"/>
                <w:lang w:val="en-US" w:eastAsia="zh-CN"/>
              </w:rPr>
            </w:pPr>
            <w:r>
              <w:rPr>
                <w:rFonts w:hint="eastAsia"/>
                <w:sz w:val="24"/>
                <w:lang w:val="en-US" w:eastAsia="zh-CN"/>
              </w:rPr>
              <w:t>25</w:t>
            </w:r>
          </w:p>
        </w:tc>
        <w:tc>
          <w:tcPr>
            <w:tcW w:w="1283" w:type="dxa"/>
            <w:vAlign w:val="center"/>
          </w:tcPr>
          <w:p>
            <w:pPr>
              <w:jc w:val="center"/>
              <w:rPr>
                <w:rFonts w:hint="eastAsia"/>
                <w:sz w:val="24"/>
              </w:rPr>
            </w:pPr>
          </w:p>
        </w:tc>
        <w:tc>
          <w:tcPr>
            <w:tcW w:w="2271"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jc w:val="center"/>
        </w:trPr>
        <w:tc>
          <w:tcPr>
            <w:tcW w:w="1216" w:type="dxa"/>
            <w:textDirection w:val="tbRlV"/>
            <w:vAlign w:val="center"/>
          </w:tcPr>
          <w:p>
            <w:pPr>
              <w:ind w:left="113" w:right="113"/>
              <w:jc w:val="center"/>
              <w:rPr>
                <w:rFonts w:hint="eastAsia"/>
                <w:sz w:val="24"/>
              </w:rPr>
            </w:pPr>
            <w:r>
              <w:rPr>
                <w:rFonts w:hint="eastAsia"/>
                <w:sz w:val="24"/>
              </w:rPr>
              <w:t>人文和心理</w:t>
            </w:r>
          </w:p>
        </w:tc>
        <w:tc>
          <w:tcPr>
            <w:tcW w:w="2288" w:type="dxa"/>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事业心、纪律性、心理健康、举止、表达、礼仪等</w:t>
            </w:r>
          </w:p>
          <w:p>
            <w:pPr>
              <w:jc w:val="center"/>
              <w:rPr>
                <w:rFonts w:hint="eastAsia"/>
                <w:sz w:val="24"/>
              </w:rPr>
            </w:pPr>
          </w:p>
          <w:p>
            <w:pPr>
              <w:jc w:val="center"/>
              <w:rPr>
                <w:rFonts w:hint="eastAsia"/>
                <w:sz w:val="24"/>
              </w:rPr>
            </w:pPr>
          </w:p>
        </w:tc>
        <w:tc>
          <w:tcPr>
            <w:tcW w:w="1150" w:type="dxa"/>
            <w:vAlign w:val="center"/>
          </w:tcPr>
          <w:p>
            <w:pPr>
              <w:jc w:val="center"/>
              <w:rPr>
                <w:rFonts w:hint="eastAsia"/>
                <w:sz w:val="24"/>
              </w:rPr>
            </w:pPr>
            <w:r>
              <w:rPr>
                <w:rFonts w:hint="eastAsia"/>
                <w:sz w:val="24"/>
              </w:rPr>
              <w:t>10</w:t>
            </w:r>
          </w:p>
        </w:tc>
        <w:tc>
          <w:tcPr>
            <w:tcW w:w="1283" w:type="dxa"/>
            <w:vAlign w:val="center"/>
          </w:tcPr>
          <w:p>
            <w:pPr>
              <w:jc w:val="center"/>
              <w:rPr>
                <w:rFonts w:hint="eastAsia"/>
                <w:sz w:val="24"/>
              </w:rPr>
            </w:pPr>
          </w:p>
        </w:tc>
        <w:tc>
          <w:tcPr>
            <w:tcW w:w="2271"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3504" w:type="dxa"/>
            <w:gridSpan w:val="2"/>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总分</w:t>
            </w:r>
          </w:p>
          <w:p>
            <w:pPr>
              <w:jc w:val="center"/>
              <w:rPr>
                <w:rFonts w:hint="eastAsia"/>
                <w:sz w:val="24"/>
              </w:rPr>
            </w:pPr>
          </w:p>
        </w:tc>
        <w:tc>
          <w:tcPr>
            <w:tcW w:w="1150" w:type="dxa"/>
            <w:vAlign w:val="center"/>
          </w:tcPr>
          <w:p>
            <w:pPr>
              <w:jc w:val="center"/>
              <w:rPr>
                <w:rFonts w:hint="eastAsia"/>
                <w:sz w:val="24"/>
              </w:rPr>
            </w:pPr>
            <w:r>
              <w:rPr>
                <w:rFonts w:hint="eastAsia"/>
                <w:sz w:val="24"/>
              </w:rPr>
              <w:t>100</w:t>
            </w:r>
          </w:p>
        </w:tc>
        <w:tc>
          <w:tcPr>
            <w:tcW w:w="1283" w:type="dxa"/>
            <w:vAlign w:val="center"/>
          </w:tcPr>
          <w:p>
            <w:pPr>
              <w:jc w:val="center"/>
              <w:rPr>
                <w:rFonts w:hint="eastAsia"/>
                <w:sz w:val="24"/>
              </w:rPr>
            </w:pPr>
          </w:p>
        </w:tc>
        <w:tc>
          <w:tcPr>
            <w:tcW w:w="2271" w:type="dxa"/>
            <w:vAlign w:val="center"/>
          </w:tcPr>
          <w:p>
            <w:pPr>
              <w:jc w:val="center"/>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55A65"/>
    <w:multiLevelType w:val="singleLevel"/>
    <w:tmpl w:val="58355A65"/>
    <w:lvl w:ilvl="0" w:tentative="0">
      <w:start w:val="2"/>
      <w:numFmt w:val="decimal"/>
      <w:suff w:val="nothing"/>
      <w:lvlText w:val="%1."/>
      <w:lvlJc w:val="left"/>
    </w:lvl>
  </w:abstractNum>
  <w:abstractNum w:abstractNumId="1">
    <w:nsid w:val="58363BF4"/>
    <w:multiLevelType w:val="singleLevel"/>
    <w:tmpl w:val="58363BF4"/>
    <w:lvl w:ilvl="0" w:tentative="0">
      <w:start w:val="2"/>
      <w:numFmt w:val="decimal"/>
      <w:suff w:val="nothing"/>
      <w:lvlText w:val="（%1）"/>
      <w:lvlJc w:val="left"/>
    </w:lvl>
  </w:abstractNum>
  <w:abstractNum w:abstractNumId="2">
    <w:nsid w:val="585A4F44"/>
    <w:multiLevelType w:val="singleLevel"/>
    <w:tmpl w:val="585A4F44"/>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824AC"/>
    <w:rsid w:val="000E5613"/>
    <w:rsid w:val="132662A5"/>
    <w:rsid w:val="146D70CF"/>
    <w:rsid w:val="1DDD471C"/>
    <w:rsid w:val="28C95BB5"/>
    <w:rsid w:val="310F5AF5"/>
    <w:rsid w:val="31356B37"/>
    <w:rsid w:val="319E5AF9"/>
    <w:rsid w:val="38ED6645"/>
    <w:rsid w:val="3D907981"/>
    <w:rsid w:val="3ED4004B"/>
    <w:rsid w:val="40D45592"/>
    <w:rsid w:val="433E0B26"/>
    <w:rsid w:val="44796D4B"/>
    <w:rsid w:val="472C3353"/>
    <w:rsid w:val="48950693"/>
    <w:rsid w:val="4AE04D8E"/>
    <w:rsid w:val="4BC268A3"/>
    <w:rsid w:val="5047353E"/>
    <w:rsid w:val="53A36F0E"/>
    <w:rsid w:val="56CF3BC3"/>
    <w:rsid w:val="596B3935"/>
    <w:rsid w:val="5B967FF8"/>
    <w:rsid w:val="5D5625E0"/>
    <w:rsid w:val="60C7471D"/>
    <w:rsid w:val="616824AC"/>
    <w:rsid w:val="6AF90E6D"/>
    <w:rsid w:val="71A022C3"/>
    <w:rsid w:val="743F7426"/>
    <w:rsid w:val="74FA13BA"/>
    <w:rsid w:val="78785FDF"/>
    <w:rsid w:val="78995A77"/>
    <w:rsid w:val="794D48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2016-11-24T01:14:00Z</dcterms:created>
  <dc:creator>TCDN-L</dc:creator>
  <cp:lastModifiedBy>刘素君</cp:lastModifiedBy>
  <cp:lastPrinted>2017-12-29T07:29:00Z</cp:lastPrinted>
  <dcterms:modified xsi:type="dcterms:W3CDTF">2019-03-05T01:25:27Z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