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240" w:lineRule="auto"/>
        <w:jc w:val="both"/>
        <w:textAlignment w:val="auto"/>
        <w:rPr>
          <w:rFonts w:hint="eastAsia" w:ascii="黑体" w:hAnsi="黑体" w:eastAsia="黑体" w:cs="黑体"/>
          <w:b/>
          <w:snapToGrid/>
          <w:color w:val="000000"/>
          <w:kern w:val="2"/>
          <w:sz w:val="44"/>
          <w:szCs w:val="44"/>
        </w:rPr>
      </w:pPr>
    </w:p>
    <w:p>
      <w:pPr>
        <w:widowControl w:val="0"/>
        <w:kinsoku/>
        <w:autoSpaceDE/>
        <w:autoSpaceDN/>
        <w:adjustRightInd/>
        <w:snapToGrid/>
        <w:spacing w:line="240" w:lineRule="auto"/>
        <w:jc w:val="center"/>
        <w:textAlignment w:val="auto"/>
        <w:rPr>
          <w:rFonts w:hint="eastAsia" w:ascii="黑体" w:hAnsi="黑体" w:eastAsia="黑体" w:cs="黑体"/>
          <w:b/>
          <w:bCs w:val="0"/>
          <w:snapToGrid/>
          <w:kern w:val="2"/>
          <w:sz w:val="44"/>
          <w:szCs w:val="44"/>
        </w:rPr>
      </w:pPr>
      <w:r>
        <w:rPr>
          <w:rFonts w:hint="eastAsia" w:ascii="黑体" w:hAnsi="黑体" w:eastAsia="黑体" w:cs="黑体"/>
          <w:b/>
          <w:bCs w:val="0"/>
          <w:snapToGrid/>
          <w:kern w:val="2"/>
          <w:sz w:val="44"/>
          <w:szCs w:val="44"/>
        </w:rPr>
        <w:t>西南大学园艺园林学院</w:t>
      </w:r>
    </w:p>
    <w:p>
      <w:pPr>
        <w:widowControl w:val="0"/>
        <w:kinsoku/>
        <w:autoSpaceDE/>
        <w:autoSpaceDN/>
        <w:adjustRightInd/>
        <w:snapToGrid/>
        <w:spacing w:line="240" w:lineRule="auto"/>
        <w:jc w:val="center"/>
        <w:textAlignment w:val="auto"/>
        <w:rPr>
          <w:rFonts w:hint="eastAsia" w:ascii="黑体" w:hAnsi="黑体" w:eastAsia="黑体" w:cs="黑体"/>
          <w:b/>
          <w:bCs w:val="0"/>
          <w:snapToGrid/>
          <w:kern w:val="2"/>
          <w:sz w:val="44"/>
          <w:szCs w:val="44"/>
        </w:rPr>
      </w:pPr>
      <w:r>
        <w:rPr>
          <w:rFonts w:hint="eastAsia" w:ascii="黑体" w:hAnsi="黑体" w:eastAsia="黑体" w:cs="黑体"/>
          <w:b/>
          <w:bCs w:val="0"/>
          <w:snapToGrid/>
          <w:kern w:val="2"/>
          <w:sz w:val="44"/>
          <w:szCs w:val="44"/>
        </w:rPr>
        <w:t>研究生学业奖学金评定实施办法</w:t>
      </w:r>
    </w:p>
    <w:p>
      <w:pPr>
        <w:widowControl w:val="0"/>
        <w:kinsoku/>
        <w:autoSpaceDE/>
        <w:autoSpaceDN/>
        <w:adjustRightInd/>
        <w:snapToGrid/>
        <w:spacing w:before="0" w:beforeLines="-2147483648" w:after="0" w:afterLines="-2147483648" w:line="240" w:lineRule="auto"/>
        <w:jc w:val="center"/>
        <w:textAlignment w:val="auto"/>
        <w:rPr>
          <w:rFonts w:ascii="黑体" w:hAnsi="黑体" w:eastAsia="黑体" w:cs="黑体"/>
          <w:b/>
          <w:sz w:val="32"/>
          <w:szCs w:val="32"/>
        </w:rPr>
      </w:pPr>
    </w:p>
    <w:p>
      <w:pPr>
        <w:kinsoku/>
        <w:autoSpaceDE/>
        <w:autoSpaceDN/>
        <w:adjustRightInd/>
        <w:snapToGrid/>
        <w:spacing w:before="0" w:beforeLines="0" w:after="0" w:afterLines="0" w:line="360" w:lineRule="auto"/>
        <w:jc w:val="center"/>
        <w:textAlignment w:val="auto"/>
        <w:rPr>
          <w:rFonts w:ascii="黑体" w:hAnsi="黑体" w:eastAsia="黑体" w:cs="黑体"/>
          <w:b/>
          <w:sz w:val="36"/>
          <w:szCs w:val="36"/>
        </w:rPr>
      </w:pPr>
      <w:r>
        <w:rPr>
          <w:rFonts w:hint="eastAsia" w:ascii="黑体" w:hAnsi="黑体" w:eastAsia="黑体" w:cs="黑体"/>
          <w:b/>
          <w:sz w:val="36"/>
          <w:szCs w:val="36"/>
        </w:rPr>
        <w:t>第一章 总 则</w:t>
      </w:r>
    </w:p>
    <w:p>
      <w:pPr>
        <w:spacing w:before="0" w:line="560" w:lineRule="exact"/>
        <w:ind w:right="85" w:firstLine="643" w:firstLineChars="200"/>
        <w:rPr>
          <w:rFonts w:ascii="仿宋" w:hAnsi="仿宋" w:eastAsia="仿宋" w:cs="仿宋"/>
          <w:snapToGrid/>
          <w:kern w:val="2"/>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xml:space="preserve"> </w:t>
      </w:r>
      <w:r>
        <w:rPr>
          <w:rFonts w:hint="eastAsia" w:ascii="仿宋" w:hAnsi="仿宋" w:eastAsia="仿宋" w:cs="仿宋"/>
          <w:snapToGrid/>
          <w:kern w:val="2"/>
          <w:sz w:val="32"/>
          <w:szCs w:val="32"/>
        </w:rPr>
        <w:t>根据《西南大学研究生奖助体系设置及管理办法》(西校〔2020〕339号)有关规定，结合学院实际，制定本办法。</w:t>
      </w:r>
    </w:p>
    <w:p>
      <w:pPr>
        <w:kinsoku/>
        <w:autoSpaceDE/>
        <w:autoSpaceDN/>
        <w:adjustRightInd/>
        <w:snapToGrid/>
        <w:spacing w:before="0" w:beforeLines="0" w:after="0" w:afterLines="0"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第二章 参评对象及标准</w:t>
      </w:r>
    </w:p>
    <w:p>
      <w:pPr>
        <w:tabs>
          <w:tab w:val="left" w:pos="3160"/>
          <w:tab w:val="right" w:pos="8388"/>
        </w:tabs>
        <w:spacing w:line="560" w:lineRule="exact"/>
        <w:ind w:firstLine="643" w:firstLineChars="200"/>
        <w:rPr>
          <w:rFonts w:ascii="仿宋" w:hAnsi="仿宋" w:eastAsia="仿宋" w:cs="仿宋"/>
          <w:snapToGrid/>
          <w:kern w:val="2"/>
          <w:sz w:val="32"/>
          <w:szCs w:val="32"/>
        </w:rPr>
      </w:pPr>
      <w:r>
        <w:rPr>
          <w:rFonts w:hint="eastAsia" w:ascii="仿宋" w:hAnsi="仿宋" w:eastAsia="仿宋" w:cs="仿宋"/>
          <w:b/>
          <w:sz w:val="32"/>
          <w:szCs w:val="32"/>
        </w:rPr>
        <w:t>第二条</w:t>
      </w:r>
      <w:r>
        <w:rPr>
          <w:rFonts w:hint="eastAsia" w:ascii="黑体" w:hAnsi="黑体" w:eastAsia="黑体" w:cs="黑体"/>
          <w:b/>
          <w:sz w:val="32"/>
          <w:szCs w:val="32"/>
        </w:rPr>
        <w:t xml:space="preserve"> </w:t>
      </w:r>
      <w:r>
        <w:rPr>
          <w:rFonts w:hint="eastAsia" w:ascii="仿宋" w:hAnsi="仿宋" w:eastAsia="仿宋" w:cs="仿宋"/>
          <w:snapToGrid/>
          <w:kern w:val="2"/>
          <w:sz w:val="32"/>
          <w:szCs w:val="32"/>
        </w:rPr>
        <w:t>研究生学业奖学金的评审与奖励对象为具有中华人民共和国国籍且纳入全国研究生招生计划的基本学制内全日制非在职研究生。本办法中非在职研究生指人事档案关系在学校，无就业单位和固定收入，能保证每周至少5个工作日、每天至少8小时在学校或学校建立的专业实践基地从事研究生课程学习及科学研究的研究生。</w:t>
      </w:r>
    </w:p>
    <w:p>
      <w:pPr>
        <w:tabs>
          <w:tab w:val="left" w:pos="3160"/>
          <w:tab w:val="right" w:pos="8388"/>
        </w:tabs>
        <w:spacing w:line="574" w:lineRule="exact"/>
        <w:ind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（一）博士研究生学业奖学金奖励标准：10000元/年·人。</w:t>
      </w:r>
    </w:p>
    <w:p>
      <w:pPr>
        <w:tabs>
          <w:tab w:val="left" w:pos="3160"/>
          <w:tab w:val="right" w:pos="8388"/>
        </w:tabs>
        <w:spacing w:line="574" w:lineRule="exact"/>
        <w:ind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（二）硕士研究生学业奖学金等级、比例和奖励标准：</w:t>
      </w:r>
    </w:p>
    <w:p>
      <w:pPr>
        <w:kinsoku/>
        <w:autoSpaceDE/>
        <w:autoSpaceDN/>
        <w:adjustRightInd/>
        <w:snapToGrid/>
        <w:spacing w:line="560" w:lineRule="exact"/>
        <w:ind w:firstLine="422" w:firstLineChars="200"/>
        <w:jc w:val="center"/>
        <w:textAlignment w:val="center"/>
        <w:rPr>
          <w:color w:val="auto"/>
        </w:rPr>
      </w:pPr>
      <w:r>
        <w:rPr>
          <w:rFonts w:hint="eastAsia" w:ascii="宋体" w:hAnsi="宋体" w:eastAsia="宋体" w:cs="宋体"/>
          <w:b/>
          <w:bCs/>
          <w:snapToGrid/>
          <w:color w:val="000000"/>
          <w:spacing w:val="0"/>
          <w:lang w:bidi="ar"/>
        </w:rPr>
        <w:t>表1</w:t>
      </w:r>
      <w:r>
        <w:rPr>
          <w:rFonts w:hint="eastAsia" w:ascii="宋体" w:hAnsi="宋体" w:eastAsia="宋体" w:cs="宋体"/>
          <w:b/>
          <w:bCs/>
          <w:snapToGrid/>
          <w:color w:val="000000"/>
          <w:spacing w:val="0"/>
          <w:lang w:eastAsia="zh-CN" w:bidi="ar"/>
        </w:rPr>
        <w:t>：</w:t>
      </w:r>
      <w:r>
        <w:rPr>
          <w:rFonts w:hint="eastAsia" w:ascii="宋体" w:hAnsi="宋体" w:eastAsia="宋体" w:cs="宋体"/>
          <w:b/>
          <w:bCs/>
          <w:snapToGrid/>
          <w:color w:val="000000"/>
          <w:spacing w:val="0"/>
          <w:lang w:bidi="ar"/>
        </w:rPr>
        <w:t>全日制研究生学业奖学金评选比例及标准</w:t>
      </w:r>
    </w:p>
    <w:tbl>
      <w:tblPr>
        <w:tblStyle w:val="6"/>
        <w:tblW w:w="8302"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1"/>
        <w:gridCol w:w="1218"/>
        <w:gridCol w:w="2612"/>
        <w:gridCol w:w="2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401" w:type="dxa"/>
          </w:tcPr>
          <w:p>
            <w:pPr>
              <w:spacing w:before="170" w:line="221" w:lineRule="auto"/>
              <w:ind w:left="789"/>
              <w:rPr>
                <w:rFonts w:ascii="宋体" w:hAnsi="宋体" w:eastAsia="宋体" w:cs="宋体"/>
                <w:b/>
                <w:bCs/>
                <w:color w:val="auto"/>
              </w:rPr>
            </w:pPr>
            <w:r>
              <w:rPr>
                <w:rFonts w:ascii="宋体" w:hAnsi="宋体" w:eastAsia="宋体" w:cs="宋体"/>
                <w:b/>
                <w:bCs/>
                <w:color w:val="auto"/>
                <w:spacing w:val="-4"/>
              </w:rPr>
              <w:t>学</w:t>
            </w:r>
            <w:r>
              <w:rPr>
                <w:rFonts w:ascii="宋体" w:hAnsi="宋体" w:eastAsia="宋体" w:cs="宋体"/>
                <w:b/>
                <w:bCs/>
                <w:color w:val="auto"/>
                <w:spacing w:val="-3"/>
              </w:rPr>
              <w:t>生</w:t>
            </w:r>
            <w:r>
              <w:rPr>
                <w:rFonts w:ascii="宋体" w:hAnsi="宋体" w:eastAsia="宋体" w:cs="宋体"/>
                <w:b/>
                <w:bCs/>
                <w:color w:val="auto"/>
                <w:spacing w:val="-2"/>
              </w:rPr>
              <w:t>类别</w:t>
            </w:r>
          </w:p>
        </w:tc>
        <w:tc>
          <w:tcPr>
            <w:tcW w:w="1218" w:type="dxa"/>
          </w:tcPr>
          <w:p>
            <w:pPr>
              <w:spacing w:before="170" w:line="221" w:lineRule="auto"/>
              <w:ind w:left="405"/>
              <w:rPr>
                <w:rFonts w:ascii="宋体" w:hAnsi="宋体" w:eastAsia="宋体" w:cs="宋体"/>
                <w:b/>
                <w:bCs/>
                <w:color w:val="auto"/>
              </w:rPr>
            </w:pPr>
            <w:r>
              <w:rPr>
                <w:rFonts w:ascii="宋体" w:hAnsi="宋体" w:eastAsia="宋体" w:cs="宋体"/>
                <w:b/>
                <w:bCs/>
                <w:color w:val="auto"/>
                <w:spacing w:val="-2"/>
              </w:rPr>
              <w:t>等级</w:t>
            </w:r>
          </w:p>
        </w:tc>
        <w:tc>
          <w:tcPr>
            <w:tcW w:w="2612" w:type="dxa"/>
          </w:tcPr>
          <w:p>
            <w:pPr>
              <w:spacing w:before="34" w:line="228" w:lineRule="auto"/>
              <w:ind w:left="1123" w:right="146" w:hanging="934"/>
              <w:rPr>
                <w:rFonts w:ascii="宋体" w:hAnsi="宋体" w:eastAsia="宋体" w:cs="宋体"/>
                <w:b/>
                <w:bCs/>
                <w:color w:val="auto"/>
              </w:rPr>
            </w:pPr>
            <w:r>
              <w:rPr>
                <w:rFonts w:ascii="宋体" w:hAnsi="宋体" w:eastAsia="宋体" w:cs="宋体"/>
                <w:b/>
                <w:bCs/>
                <w:color w:val="auto"/>
                <w:spacing w:val="-6"/>
              </w:rPr>
              <w:t>占非</w:t>
            </w:r>
            <w:r>
              <w:rPr>
                <w:rFonts w:ascii="宋体" w:hAnsi="宋体" w:eastAsia="宋体" w:cs="宋体"/>
                <w:b/>
                <w:bCs/>
                <w:color w:val="auto"/>
                <w:spacing w:val="-3"/>
              </w:rPr>
              <w:t>在职研究生总人数的</w:t>
            </w:r>
            <w:r>
              <w:rPr>
                <w:rFonts w:ascii="宋体" w:hAnsi="宋体" w:eastAsia="宋体" w:cs="宋体"/>
                <w:b/>
                <w:bCs/>
                <w:color w:val="auto"/>
              </w:rPr>
              <w:t xml:space="preserve"> </w:t>
            </w:r>
            <w:r>
              <w:rPr>
                <w:rFonts w:ascii="宋体" w:hAnsi="宋体" w:eastAsia="宋体" w:cs="宋体"/>
                <w:b/>
                <w:bCs/>
                <w:color w:val="auto"/>
                <w:spacing w:val="-8"/>
              </w:rPr>
              <w:t>比</w:t>
            </w:r>
            <w:r>
              <w:rPr>
                <w:rFonts w:ascii="宋体" w:hAnsi="宋体" w:eastAsia="宋体" w:cs="宋体"/>
                <w:b/>
                <w:bCs/>
                <w:color w:val="auto"/>
                <w:spacing w:val="-7"/>
              </w:rPr>
              <w:t>例</w:t>
            </w:r>
          </w:p>
        </w:tc>
        <w:tc>
          <w:tcPr>
            <w:tcW w:w="2071" w:type="dxa"/>
          </w:tcPr>
          <w:p>
            <w:pPr>
              <w:spacing w:before="34" w:line="228" w:lineRule="auto"/>
              <w:ind w:left="830" w:right="164" w:hanging="657"/>
              <w:rPr>
                <w:rFonts w:ascii="宋体" w:hAnsi="宋体" w:eastAsia="宋体" w:cs="宋体"/>
                <w:b/>
                <w:bCs/>
                <w:color w:val="auto"/>
              </w:rPr>
            </w:pPr>
            <w:r>
              <w:rPr>
                <w:rFonts w:ascii="宋体" w:hAnsi="宋体" w:eastAsia="宋体" w:cs="宋体"/>
                <w:b/>
                <w:bCs/>
                <w:color w:val="auto"/>
                <w:spacing w:val="14"/>
              </w:rPr>
              <w:t>学</w:t>
            </w:r>
            <w:r>
              <w:rPr>
                <w:rFonts w:ascii="宋体" w:hAnsi="宋体" w:eastAsia="宋体" w:cs="宋体"/>
                <w:b/>
                <w:bCs/>
                <w:color w:val="auto"/>
                <w:spacing w:val="10"/>
              </w:rPr>
              <w:t>业奖学金(元</w:t>
            </w:r>
            <w:r>
              <w:rPr>
                <w:rFonts w:hint="eastAsia" w:ascii="宋体" w:hAnsi="宋体" w:eastAsia="宋体" w:cs="宋体"/>
                <w:b/>
                <w:bCs/>
                <w:color w:val="auto"/>
                <w:spacing w:val="10"/>
              </w:rPr>
              <w:t>/</w:t>
            </w:r>
            <w:r>
              <w:rPr>
                <w:rFonts w:ascii="宋体" w:hAnsi="宋体" w:eastAsia="宋体" w:cs="宋体"/>
                <w:b/>
                <w:bCs/>
                <w:color w:val="auto"/>
                <w:spacing w:val="10"/>
              </w:rPr>
              <w:t>人</w:t>
            </w:r>
            <w:r>
              <w:rPr>
                <w:rFonts w:ascii="宋体" w:hAnsi="宋体" w:eastAsia="宋体" w:cs="宋体"/>
                <w:b/>
                <w:bCs/>
                <w:color w:val="auto"/>
              </w:rPr>
              <w:t xml:space="preserve"> </w:t>
            </w:r>
            <w:r>
              <w:rPr>
                <w:rFonts w:ascii="宋体" w:hAnsi="宋体" w:eastAsia="宋体" w:cs="宋体"/>
                <w:b/>
                <w:bCs/>
                <w:color w:val="auto"/>
                <w:spacing w:val="-8"/>
              </w:rPr>
              <w:t>年</w:t>
            </w:r>
            <w:r>
              <w:rPr>
                <w:rFonts w:ascii="宋体" w:hAnsi="宋体" w:eastAsia="宋体" w:cs="宋体"/>
                <w:b/>
                <w:bCs/>
                <w:color w:val="auto"/>
                <w:spacing w:val="-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401" w:type="dxa"/>
          </w:tcPr>
          <w:p>
            <w:pPr>
              <w:spacing w:before="93" w:line="221" w:lineRule="auto"/>
              <w:ind w:left="892"/>
              <w:rPr>
                <w:rFonts w:ascii="宋体" w:hAnsi="宋体" w:eastAsia="宋体" w:cs="宋体"/>
                <w:color w:val="auto"/>
              </w:rPr>
            </w:pPr>
            <w:r>
              <w:rPr>
                <w:rFonts w:ascii="宋体" w:hAnsi="宋体" w:eastAsia="宋体" w:cs="宋体"/>
                <w:color w:val="auto"/>
                <w:spacing w:val="-2"/>
              </w:rPr>
              <w:t>博</w:t>
            </w:r>
            <w:r>
              <w:rPr>
                <w:rFonts w:ascii="宋体" w:hAnsi="宋体" w:eastAsia="宋体" w:cs="宋体"/>
                <w:color w:val="auto"/>
                <w:spacing w:val="-1"/>
              </w:rPr>
              <w:t>士生</w:t>
            </w:r>
          </w:p>
        </w:tc>
        <w:tc>
          <w:tcPr>
            <w:tcW w:w="1218" w:type="dxa"/>
          </w:tcPr>
          <w:p>
            <w:pPr>
              <w:spacing w:before="92" w:line="221" w:lineRule="auto"/>
              <w:ind w:left="406"/>
              <w:rPr>
                <w:rFonts w:ascii="宋体" w:hAnsi="宋体" w:eastAsia="宋体" w:cs="宋体"/>
                <w:color w:val="auto"/>
              </w:rPr>
            </w:pPr>
            <w:r>
              <w:rPr>
                <w:rFonts w:ascii="宋体" w:hAnsi="宋体" w:eastAsia="宋体" w:cs="宋体"/>
                <w:color w:val="auto"/>
                <w:spacing w:val="-3"/>
              </w:rPr>
              <w:t>一</w:t>
            </w:r>
            <w:r>
              <w:rPr>
                <w:rFonts w:ascii="宋体" w:hAnsi="宋体" w:eastAsia="宋体" w:cs="宋体"/>
                <w:color w:val="auto"/>
                <w:spacing w:val="-2"/>
              </w:rPr>
              <w:t>等</w:t>
            </w:r>
          </w:p>
        </w:tc>
        <w:tc>
          <w:tcPr>
            <w:tcW w:w="2612" w:type="dxa"/>
          </w:tcPr>
          <w:p>
            <w:pPr>
              <w:spacing w:before="129" w:line="189" w:lineRule="auto"/>
              <w:ind w:left="1081"/>
              <w:rPr>
                <w:rFonts w:ascii="Times New Roman" w:hAnsi="Times New Roman" w:eastAsia="Times New Roman" w:cs="Times New Roman"/>
                <w:color w:val="auto"/>
              </w:rPr>
            </w:pPr>
            <w:r>
              <w:rPr>
                <w:rFonts w:ascii="Times New Roman" w:hAnsi="Times New Roman" w:eastAsia="Times New Roman" w:cs="Times New Roman"/>
                <w:color w:val="auto"/>
                <w:spacing w:val="-6"/>
              </w:rPr>
              <w:t>1</w:t>
            </w:r>
            <w:r>
              <w:rPr>
                <w:rFonts w:ascii="Times New Roman" w:hAnsi="Times New Roman" w:eastAsia="Times New Roman" w:cs="Times New Roman"/>
                <w:color w:val="auto"/>
                <w:spacing w:val="-3"/>
              </w:rPr>
              <w:t>00%</w:t>
            </w:r>
          </w:p>
        </w:tc>
        <w:tc>
          <w:tcPr>
            <w:tcW w:w="2071" w:type="dxa"/>
          </w:tcPr>
          <w:p>
            <w:pPr>
              <w:spacing w:before="129" w:line="189" w:lineRule="auto"/>
              <w:ind w:left="793"/>
              <w:rPr>
                <w:rFonts w:ascii="Times New Roman" w:hAnsi="Times New Roman" w:eastAsia="Times New Roman" w:cs="Times New Roman"/>
                <w:color w:val="auto"/>
              </w:rPr>
            </w:pPr>
            <w:r>
              <w:rPr>
                <w:rFonts w:ascii="Times New Roman" w:hAnsi="Times New Roman" w:eastAsia="Times New Roman" w:cs="Times New Roman"/>
                <w:color w:val="auto"/>
                <w:spacing w:val="-6"/>
              </w:rPr>
              <w:t>1</w:t>
            </w:r>
            <w:r>
              <w:rPr>
                <w:rFonts w:ascii="Times New Roman" w:hAnsi="Times New Roman" w:eastAsia="Times New Roman" w:cs="Times New Roman"/>
                <w:color w:val="auto"/>
                <w:spacing w:val="-3"/>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2401" w:type="dxa"/>
            <w:vMerge w:val="restart"/>
            <w:tcBorders>
              <w:bottom w:val="nil"/>
            </w:tcBorders>
          </w:tcPr>
          <w:p>
            <w:pPr>
              <w:spacing w:before="161" w:line="238" w:lineRule="auto"/>
              <w:ind w:left="894"/>
              <w:rPr>
                <w:rFonts w:ascii="宋体" w:hAnsi="宋体" w:eastAsia="宋体" w:cs="宋体"/>
                <w:color w:val="auto"/>
              </w:rPr>
            </w:pPr>
            <w:r>
              <w:rPr>
                <w:rFonts w:ascii="宋体" w:hAnsi="宋体" w:eastAsia="宋体" w:cs="宋体"/>
                <w:color w:val="auto"/>
                <w:spacing w:val="-2"/>
              </w:rPr>
              <w:t>一年级</w:t>
            </w:r>
          </w:p>
          <w:p>
            <w:pPr>
              <w:spacing w:line="222" w:lineRule="auto"/>
              <w:ind w:left="892"/>
              <w:rPr>
                <w:rFonts w:ascii="宋体" w:hAnsi="宋体" w:eastAsia="宋体" w:cs="宋体"/>
                <w:color w:val="auto"/>
              </w:rPr>
            </w:pPr>
            <w:r>
              <w:rPr>
                <w:rFonts w:ascii="宋体" w:hAnsi="宋体" w:eastAsia="宋体" w:cs="宋体"/>
                <w:color w:val="auto"/>
                <w:spacing w:val="-2"/>
              </w:rPr>
              <w:t>硕</w:t>
            </w:r>
            <w:r>
              <w:rPr>
                <w:rFonts w:ascii="宋体" w:hAnsi="宋体" w:eastAsia="宋体" w:cs="宋体"/>
                <w:color w:val="auto"/>
                <w:spacing w:val="-1"/>
              </w:rPr>
              <w:t>士生</w:t>
            </w:r>
          </w:p>
        </w:tc>
        <w:tc>
          <w:tcPr>
            <w:tcW w:w="1218" w:type="dxa"/>
          </w:tcPr>
          <w:p>
            <w:pPr>
              <w:spacing w:before="93" w:line="221" w:lineRule="auto"/>
              <w:ind w:left="406"/>
              <w:rPr>
                <w:rFonts w:ascii="宋体" w:hAnsi="宋体" w:eastAsia="宋体" w:cs="宋体"/>
                <w:color w:val="auto"/>
              </w:rPr>
            </w:pPr>
            <w:r>
              <w:rPr>
                <w:rFonts w:ascii="宋体" w:hAnsi="宋体" w:eastAsia="宋体" w:cs="宋体"/>
                <w:color w:val="auto"/>
                <w:spacing w:val="-3"/>
              </w:rPr>
              <w:t>一</w:t>
            </w:r>
            <w:r>
              <w:rPr>
                <w:rFonts w:ascii="宋体" w:hAnsi="宋体" w:eastAsia="宋体" w:cs="宋体"/>
                <w:color w:val="auto"/>
                <w:spacing w:val="-2"/>
              </w:rPr>
              <w:t>等</w:t>
            </w:r>
          </w:p>
        </w:tc>
        <w:tc>
          <w:tcPr>
            <w:tcW w:w="2612" w:type="dxa"/>
          </w:tcPr>
          <w:p>
            <w:pPr>
              <w:spacing w:before="130" w:line="189" w:lineRule="auto"/>
              <w:ind w:left="1119"/>
              <w:rPr>
                <w:rFonts w:ascii="Times New Roman" w:hAnsi="Times New Roman" w:eastAsia="Times New Roman" w:cs="Times New Roman"/>
                <w:color w:val="auto"/>
              </w:rPr>
            </w:pPr>
            <w:r>
              <w:rPr>
                <w:rFonts w:ascii="Times New Roman" w:hAnsi="Times New Roman" w:eastAsia="Times New Roman" w:cs="Times New Roman"/>
                <w:color w:val="auto"/>
                <w:spacing w:val="-2"/>
              </w:rPr>
              <w:t>50</w:t>
            </w:r>
            <w:r>
              <w:rPr>
                <w:rFonts w:ascii="Times New Roman" w:hAnsi="Times New Roman" w:eastAsia="Times New Roman" w:cs="Times New Roman"/>
                <w:color w:val="auto"/>
                <w:spacing w:val="-1"/>
              </w:rPr>
              <w:t>%</w:t>
            </w:r>
          </w:p>
        </w:tc>
        <w:tc>
          <w:tcPr>
            <w:tcW w:w="2071" w:type="dxa"/>
          </w:tcPr>
          <w:p>
            <w:pPr>
              <w:spacing w:before="130" w:line="189" w:lineRule="auto"/>
              <w:ind w:left="834"/>
              <w:rPr>
                <w:rFonts w:ascii="Times New Roman" w:hAnsi="Times New Roman" w:eastAsia="Times New Roman" w:cs="Times New Roman"/>
                <w:color w:val="auto"/>
              </w:rPr>
            </w:pPr>
            <w:r>
              <w:rPr>
                <w:rFonts w:ascii="Times New Roman" w:hAnsi="Times New Roman" w:eastAsia="Times New Roman" w:cs="Times New Roman"/>
                <w:color w:val="auto"/>
                <w:spacing w:val="-2"/>
              </w:rPr>
              <w:t>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401" w:type="dxa"/>
            <w:vMerge w:val="continue"/>
            <w:tcBorders>
              <w:top w:val="nil"/>
            </w:tcBorders>
          </w:tcPr>
          <w:p>
            <w:pPr>
              <w:rPr>
                <w:color w:val="auto"/>
              </w:rPr>
            </w:pPr>
          </w:p>
        </w:tc>
        <w:tc>
          <w:tcPr>
            <w:tcW w:w="1218" w:type="dxa"/>
          </w:tcPr>
          <w:p>
            <w:pPr>
              <w:spacing w:before="95" w:line="221" w:lineRule="auto"/>
              <w:ind w:left="406"/>
              <w:rPr>
                <w:rFonts w:ascii="宋体" w:hAnsi="宋体" w:eastAsia="宋体" w:cs="宋体"/>
                <w:color w:val="auto"/>
              </w:rPr>
            </w:pPr>
            <w:r>
              <w:rPr>
                <w:rFonts w:ascii="宋体" w:hAnsi="宋体" w:eastAsia="宋体" w:cs="宋体"/>
                <w:color w:val="auto"/>
                <w:spacing w:val="-3"/>
              </w:rPr>
              <w:t>二</w:t>
            </w:r>
            <w:r>
              <w:rPr>
                <w:rFonts w:ascii="宋体" w:hAnsi="宋体" w:eastAsia="宋体" w:cs="宋体"/>
                <w:color w:val="auto"/>
                <w:spacing w:val="-2"/>
              </w:rPr>
              <w:t>等</w:t>
            </w:r>
          </w:p>
        </w:tc>
        <w:tc>
          <w:tcPr>
            <w:tcW w:w="2612" w:type="dxa"/>
          </w:tcPr>
          <w:p>
            <w:pPr>
              <w:spacing w:before="132" w:line="189" w:lineRule="auto"/>
              <w:ind w:left="1119"/>
              <w:rPr>
                <w:rFonts w:ascii="Times New Roman" w:hAnsi="Times New Roman" w:eastAsia="Times New Roman" w:cs="Times New Roman"/>
                <w:color w:val="auto"/>
              </w:rPr>
            </w:pPr>
            <w:r>
              <w:rPr>
                <w:rFonts w:ascii="Times New Roman" w:hAnsi="Times New Roman" w:eastAsia="Times New Roman" w:cs="Times New Roman"/>
                <w:color w:val="auto"/>
                <w:spacing w:val="-2"/>
              </w:rPr>
              <w:t>50</w:t>
            </w:r>
            <w:r>
              <w:rPr>
                <w:rFonts w:ascii="Times New Roman" w:hAnsi="Times New Roman" w:eastAsia="Times New Roman" w:cs="Times New Roman"/>
                <w:color w:val="auto"/>
                <w:spacing w:val="-1"/>
              </w:rPr>
              <w:t>%</w:t>
            </w:r>
          </w:p>
        </w:tc>
        <w:tc>
          <w:tcPr>
            <w:tcW w:w="2071" w:type="dxa"/>
          </w:tcPr>
          <w:p>
            <w:pPr>
              <w:spacing w:before="132" w:line="189" w:lineRule="auto"/>
              <w:ind w:left="824"/>
              <w:rPr>
                <w:rFonts w:ascii="Times New Roman" w:hAnsi="Times New Roman" w:eastAsia="Times New Roman" w:cs="Times New Roman"/>
                <w:color w:val="auto"/>
              </w:rPr>
            </w:pPr>
            <w:r>
              <w:rPr>
                <w:rFonts w:ascii="Times New Roman" w:hAnsi="Times New Roman" w:eastAsia="Times New Roman" w:cs="Times New Roman"/>
                <w:color w:val="auto"/>
                <w:spacing w:val="-1"/>
              </w:rPr>
              <w:t>4</w:t>
            </w:r>
            <w:r>
              <w:rPr>
                <w:rFonts w:ascii="Times New Roman" w:hAnsi="Times New Roman" w:eastAsia="Times New Roman" w:cs="Times New Roman"/>
                <w:color w:val="auto"/>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2401" w:type="dxa"/>
          </w:tcPr>
          <w:p>
            <w:pPr>
              <w:spacing w:before="96" w:line="221" w:lineRule="auto"/>
              <w:ind w:left="683"/>
              <w:rPr>
                <w:rFonts w:ascii="宋体" w:hAnsi="宋体" w:eastAsia="宋体" w:cs="宋体"/>
                <w:color w:val="auto"/>
              </w:rPr>
            </w:pPr>
            <w:r>
              <w:rPr>
                <w:rFonts w:ascii="宋体" w:hAnsi="宋体" w:eastAsia="宋体" w:cs="宋体"/>
                <w:color w:val="auto"/>
                <w:spacing w:val="-2"/>
              </w:rPr>
              <w:t>二、三</w:t>
            </w:r>
            <w:r>
              <w:rPr>
                <w:rFonts w:ascii="宋体" w:hAnsi="宋体" w:eastAsia="宋体" w:cs="宋体"/>
                <w:color w:val="auto"/>
                <w:spacing w:val="-1"/>
              </w:rPr>
              <w:t>年级</w:t>
            </w:r>
          </w:p>
        </w:tc>
        <w:tc>
          <w:tcPr>
            <w:tcW w:w="1218" w:type="dxa"/>
          </w:tcPr>
          <w:p>
            <w:pPr>
              <w:spacing w:before="96" w:line="221" w:lineRule="auto"/>
              <w:ind w:left="406"/>
              <w:rPr>
                <w:rFonts w:ascii="宋体" w:hAnsi="宋体" w:eastAsia="宋体" w:cs="宋体"/>
                <w:color w:val="auto"/>
              </w:rPr>
            </w:pPr>
            <w:r>
              <w:rPr>
                <w:rFonts w:ascii="宋体" w:hAnsi="宋体" w:eastAsia="宋体" w:cs="宋体"/>
                <w:color w:val="auto"/>
                <w:spacing w:val="-3"/>
              </w:rPr>
              <w:t>一</w:t>
            </w:r>
            <w:r>
              <w:rPr>
                <w:rFonts w:ascii="宋体" w:hAnsi="宋体" w:eastAsia="宋体" w:cs="宋体"/>
                <w:color w:val="auto"/>
                <w:spacing w:val="-2"/>
              </w:rPr>
              <w:t>等</w:t>
            </w:r>
          </w:p>
        </w:tc>
        <w:tc>
          <w:tcPr>
            <w:tcW w:w="2612" w:type="dxa"/>
          </w:tcPr>
          <w:p>
            <w:pPr>
              <w:spacing w:before="133" w:line="189" w:lineRule="auto"/>
              <w:ind w:left="1097"/>
              <w:rPr>
                <w:rFonts w:ascii="Times New Roman" w:hAnsi="Times New Roman" w:eastAsia="Times New Roman" w:cs="Times New Roman"/>
                <w:color w:val="auto"/>
              </w:rPr>
            </w:pPr>
            <w:r>
              <w:rPr>
                <w:rFonts w:ascii="Times New Roman" w:hAnsi="Times New Roman" w:eastAsia="Times New Roman" w:cs="Times New Roman"/>
                <w:bCs/>
                <w:color w:val="auto"/>
                <w:spacing w:val="-1"/>
              </w:rPr>
              <w:t>20</w:t>
            </w:r>
            <w:r>
              <w:rPr>
                <w:rFonts w:ascii="Times New Roman" w:hAnsi="Times New Roman" w:eastAsia="Times New Roman" w:cs="Times New Roman"/>
                <w:bCs/>
                <w:color w:val="auto"/>
              </w:rPr>
              <w:t>%</w:t>
            </w:r>
          </w:p>
        </w:tc>
        <w:tc>
          <w:tcPr>
            <w:tcW w:w="2071" w:type="dxa"/>
          </w:tcPr>
          <w:p>
            <w:pPr>
              <w:spacing w:before="133" w:line="189" w:lineRule="auto"/>
              <w:ind w:left="829"/>
              <w:rPr>
                <w:rFonts w:ascii="Times New Roman" w:hAnsi="Times New Roman" w:eastAsia="Times New Roman" w:cs="Times New Roman"/>
                <w:color w:val="auto"/>
              </w:rPr>
            </w:pPr>
            <w:r>
              <w:rPr>
                <w:rFonts w:ascii="Times New Roman" w:hAnsi="Times New Roman" w:eastAsia="Times New Roman" w:cs="Times New Roman"/>
                <w:color w:val="auto"/>
                <w:spacing w:val="-2"/>
              </w:rPr>
              <w:t>9</w:t>
            </w:r>
            <w:r>
              <w:rPr>
                <w:rFonts w:ascii="Times New Roman" w:hAnsi="Times New Roman" w:eastAsia="Times New Roman" w:cs="Times New Roman"/>
                <w:color w:val="auto"/>
                <w:spacing w:val="-1"/>
              </w:rPr>
              <w:t>000</w:t>
            </w:r>
          </w:p>
        </w:tc>
      </w:tr>
    </w:tbl>
    <w:p>
      <w:pPr>
        <w:rPr>
          <w:color w:val="auto"/>
        </w:rPr>
      </w:pPr>
    </w:p>
    <w:p>
      <w:pPr>
        <w:rPr>
          <w:color w:val="auto"/>
        </w:rPr>
        <w:sectPr>
          <w:pgSz w:w="11907" w:h="16839"/>
          <w:pgMar w:top="1431" w:right="1714" w:bottom="0" w:left="1785" w:header="0" w:footer="0" w:gutter="0"/>
          <w:cols w:space="720" w:num="1"/>
        </w:sectPr>
      </w:pPr>
    </w:p>
    <w:p>
      <w:pPr>
        <w:spacing w:line="91" w:lineRule="auto"/>
        <w:rPr>
          <w:color w:val="auto"/>
          <w:sz w:val="2"/>
        </w:rPr>
      </w:pPr>
    </w:p>
    <w:tbl>
      <w:tblPr>
        <w:tblStyle w:val="6"/>
        <w:tblW w:w="8302"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1"/>
        <w:gridCol w:w="1218"/>
        <w:gridCol w:w="2612"/>
        <w:gridCol w:w="2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401" w:type="dxa"/>
            <w:vMerge w:val="restart"/>
            <w:tcBorders>
              <w:bottom w:val="nil"/>
            </w:tcBorders>
          </w:tcPr>
          <w:p>
            <w:pPr>
              <w:spacing w:before="34" w:line="222" w:lineRule="auto"/>
              <w:ind w:left="892"/>
              <w:rPr>
                <w:rFonts w:ascii="宋体" w:hAnsi="宋体" w:eastAsia="宋体" w:cs="宋体"/>
                <w:color w:val="auto"/>
              </w:rPr>
            </w:pPr>
            <w:r>
              <w:rPr>
                <w:rFonts w:ascii="宋体" w:hAnsi="宋体" w:eastAsia="宋体" w:cs="宋体"/>
                <w:color w:val="auto"/>
                <w:spacing w:val="-2"/>
              </w:rPr>
              <w:t>硕</w:t>
            </w:r>
            <w:r>
              <w:rPr>
                <w:rFonts w:ascii="宋体" w:hAnsi="宋体" w:eastAsia="宋体" w:cs="宋体"/>
                <w:color w:val="auto"/>
                <w:spacing w:val="-1"/>
              </w:rPr>
              <w:t>士生</w:t>
            </w:r>
          </w:p>
        </w:tc>
        <w:tc>
          <w:tcPr>
            <w:tcW w:w="1218" w:type="dxa"/>
          </w:tcPr>
          <w:p>
            <w:pPr>
              <w:spacing w:before="96" w:line="221" w:lineRule="auto"/>
              <w:ind w:left="406"/>
              <w:rPr>
                <w:rFonts w:ascii="宋体" w:hAnsi="宋体" w:eastAsia="宋体" w:cs="宋体"/>
                <w:color w:val="auto"/>
              </w:rPr>
            </w:pPr>
            <w:r>
              <w:rPr>
                <w:rFonts w:ascii="宋体" w:hAnsi="宋体" w:eastAsia="宋体" w:cs="宋体"/>
                <w:color w:val="auto"/>
                <w:spacing w:val="-3"/>
              </w:rPr>
              <w:t>二</w:t>
            </w:r>
            <w:r>
              <w:rPr>
                <w:rFonts w:ascii="宋体" w:hAnsi="宋体" w:eastAsia="宋体" w:cs="宋体"/>
                <w:color w:val="auto"/>
                <w:spacing w:val="-2"/>
              </w:rPr>
              <w:t>等</w:t>
            </w:r>
          </w:p>
        </w:tc>
        <w:tc>
          <w:tcPr>
            <w:tcW w:w="2612" w:type="dxa"/>
          </w:tcPr>
          <w:p>
            <w:pPr>
              <w:spacing w:before="133" w:line="189" w:lineRule="auto"/>
              <w:ind w:left="1100"/>
              <w:rPr>
                <w:rFonts w:ascii="Times New Roman" w:hAnsi="Times New Roman" w:eastAsia="Times New Roman" w:cs="Times New Roman"/>
                <w:color w:val="auto"/>
              </w:rPr>
            </w:pPr>
            <w:r>
              <w:rPr>
                <w:rFonts w:ascii="Times New Roman" w:hAnsi="Times New Roman" w:eastAsia="Times New Roman" w:cs="Times New Roman"/>
                <w:bCs/>
                <w:color w:val="auto"/>
                <w:spacing w:val="-1"/>
              </w:rPr>
              <w:t>70%</w:t>
            </w:r>
          </w:p>
        </w:tc>
        <w:tc>
          <w:tcPr>
            <w:tcW w:w="2071" w:type="dxa"/>
          </w:tcPr>
          <w:p>
            <w:pPr>
              <w:spacing w:before="133" w:line="189" w:lineRule="auto"/>
              <w:ind w:left="830"/>
              <w:rPr>
                <w:rFonts w:ascii="Times New Roman" w:hAnsi="Times New Roman" w:eastAsia="Times New Roman" w:cs="Times New Roman"/>
                <w:color w:val="auto"/>
              </w:rPr>
            </w:pPr>
            <w:r>
              <w:rPr>
                <w:rFonts w:ascii="Times New Roman" w:hAnsi="Times New Roman" w:eastAsia="Times New Roman" w:cs="Times New Roman"/>
                <w:color w:val="auto"/>
                <w:spacing w:val="-2"/>
              </w:rPr>
              <w:t>60</w:t>
            </w:r>
            <w:r>
              <w:rPr>
                <w:rFonts w:ascii="Times New Roman" w:hAnsi="Times New Roman" w:eastAsia="Times New Roman" w:cs="Times New Roman"/>
                <w:color w:val="auto"/>
                <w:spacing w:val="-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01" w:type="dxa"/>
            <w:vMerge w:val="continue"/>
            <w:tcBorders>
              <w:top w:val="nil"/>
            </w:tcBorders>
          </w:tcPr>
          <w:p>
            <w:pPr>
              <w:rPr>
                <w:color w:val="auto"/>
              </w:rPr>
            </w:pPr>
          </w:p>
        </w:tc>
        <w:tc>
          <w:tcPr>
            <w:tcW w:w="1218" w:type="dxa"/>
          </w:tcPr>
          <w:p>
            <w:pPr>
              <w:spacing w:before="94" w:line="221" w:lineRule="auto"/>
              <w:ind w:left="403"/>
              <w:rPr>
                <w:rFonts w:ascii="宋体" w:hAnsi="宋体" w:eastAsia="宋体" w:cs="宋体"/>
                <w:color w:val="auto"/>
              </w:rPr>
            </w:pPr>
            <w:r>
              <w:rPr>
                <w:rFonts w:ascii="宋体" w:hAnsi="宋体" w:eastAsia="宋体" w:cs="宋体"/>
                <w:color w:val="auto"/>
                <w:spacing w:val="-2"/>
              </w:rPr>
              <w:t>三</w:t>
            </w:r>
            <w:r>
              <w:rPr>
                <w:rFonts w:ascii="宋体" w:hAnsi="宋体" w:eastAsia="宋体" w:cs="宋体"/>
                <w:color w:val="auto"/>
                <w:spacing w:val="-1"/>
              </w:rPr>
              <w:t>等</w:t>
            </w:r>
          </w:p>
        </w:tc>
        <w:tc>
          <w:tcPr>
            <w:tcW w:w="2612" w:type="dxa"/>
          </w:tcPr>
          <w:p>
            <w:pPr>
              <w:spacing w:before="131" w:line="189" w:lineRule="auto"/>
              <w:ind w:left="1106"/>
              <w:rPr>
                <w:rFonts w:ascii="Times New Roman" w:hAnsi="Times New Roman" w:eastAsia="Times New Roman" w:cs="Times New Roman"/>
                <w:color w:val="auto"/>
              </w:rPr>
            </w:pPr>
            <w:r>
              <w:rPr>
                <w:rFonts w:ascii="Times New Roman" w:hAnsi="Times New Roman" w:eastAsia="Times New Roman" w:cs="Times New Roman"/>
                <w:bCs/>
                <w:color w:val="auto"/>
                <w:spacing w:val="-2"/>
              </w:rPr>
              <w:t>10%</w:t>
            </w:r>
          </w:p>
        </w:tc>
        <w:tc>
          <w:tcPr>
            <w:tcW w:w="2071" w:type="dxa"/>
          </w:tcPr>
          <w:p>
            <w:pPr>
              <w:spacing w:before="131" w:line="189" w:lineRule="auto"/>
              <w:ind w:left="830"/>
              <w:rPr>
                <w:rFonts w:ascii="Times New Roman" w:hAnsi="Times New Roman" w:eastAsia="Times New Roman" w:cs="Times New Roman"/>
                <w:color w:val="auto"/>
              </w:rPr>
            </w:pPr>
            <w:r>
              <w:rPr>
                <w:rFonts w:ascii="Times New Roman" w:hAnsi="Times New Roman" w:eastAsia="Times New Roman" w:cs="Times New Roman"/>
                <w:color w:val="auto"/>
                <w:spacing w:val="-2"/>
              </w:rPr>
              <w:t>3</w:t>
            </w:r>
            <w:r>
              <w:rPr>
                <w:rFonts w:ascii="Times New Roman" w:hAnsi="Times New Roman" w:eastAsia="Times New Roman" w:cs="Times New Roman"/>
                <w:color w:val="auto"/>
                <w:spacing w:val="-1"/>
              </w:rPr>
              <w:t>000</w:t>
            </w:r>
          </w:p>
        </w:tc>
      </w:tr>
    </w:tbl>
    <w:p>
      <w:pPr>
        <w:spacing w:before="124" w:line="360" w:lineRule="auto"/>
        <w:ind w:left="0" w:right="88" w:firstLine="0"/>
        <w:rPr>
          <w:rFonts w:ascii="仿宋" w:hAnsi="仿宋" w:eastAsia="仿宋" w:cs="仿宋"/>
          <w:snapToGrid/>
          <w:kern w:val="2"/>
          <w:sz w:val="32"/>
          <w:szCs w:val="32"/>
        </w:rPr>
      </w:pPr>
    </w:p>
    <w:p>
      <w:pPr>
        <w:spacing w:line="560" w:lineRule="exact"/>
        <w:ind w:left="40" w:right="91" w:firstLine="465"/>
        <w:rPr>
          <w:color w:val="auto"/>
        </w:rPr>
      </w:pPr>
      <w:r>
        <w:rPr>
          <w:rFonts w:hint="eastAsia" w:ascii="仿宋" w:hAnsi="仿宋" w:eastAsia="仿宋" w:cs="仿宋"/>
          <w:snapToGrid/>
          <w:kern w:val="2"/>
          <w:sz w:val="32"/>
          <w:szCs w:val="32"/>
        </w:rPr>
        <w:t>学业奖学金以专业为标准分为一、二、三等的情况，按照“专业人数*等级比例”的结果四舍五入分配一、二、三等名额。</w:t>
      </w:r>
    </w:p>
    <w:p>
      <w:pPr>
        <w:kinsoku/>
        <w:autoSpaceDE/>
        <w:autoSpaceDN/>
        <w:adjustRightInd/>
        <w:snapToGrid/>
        <w:spacing w:before="0" w:beforeLines="0" w:after="0" w:afterLines="0"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第三章 参评基本条件</w:t>
      </w:r>
    </w:p>
    <w:p>
      <w:pPr>
        <w:spacing w:before="0" w:line="560" w:lineRule="exact"/>
        <w:ind w:right="85" w:firstLine="643" w:firstLineChars="200"/>
        <w:rPr>
          <w:rFonts w:ascii="仿宋" w:hAnsi="仿宋" w:eastAsia="仿宋" w:cs="仿宋"/>
          <w:snapToGrid/>
          <w:kern w:val="2"/>
          <w:sz w:val="32"/>
          <w:szCs w:val="32"/>
        </w:rPr>
      </w:pPr>
      <w:r>
        <w:rPr>
          <w:rFonts w:hint="eastAsia" w:ascii="仿宋" w:hAnsi="仿宋" w:eastAsia="仿宋" w:cs="仿宋"/>
          <w:b/>
          <w:sz w:val="32"/>
          <w:szCs w:val="32"/>
        </w:rPr>
        <w:t>第三条</w:t>
      </w:r>
      <w:r>
        <w:rPr>
          <w:rFonts w:hint="eastAsia" w:ascii="黑体" w:hAnsi="黑体" w:eastAsia="黑体" w:cs="黑体"/>
          <w:b/>
          <w:sz w:val="32"/>
          <w:szCs w:val="32"/>
        </w:rPr>
        <w:t xml:space="preserve"> </w:t>
      </w:r>
      <w:r>
        <w:rPr>
          <w:rFonts w:hint="eastAsia" w:ascii="仿宋" w:hAnsi="仿宋" w:eastAsia="仿宋" w:cs="仿宋"/>
          <w:snapToGrid/>
          <w:kern w:val="2"/>
          <w:sz w:val="32"/>
          <w:szCs w:val="32"/>
        </w:rPr>
        <w:t xml:space="preserve">基本申请条件：                         </w:t>
      </w:r>
    </w:p>
    <w:p>
      <w:pPr>
        <w:spacing w:before="0" w:line="560" w:lineRule="exact"/>
        <w:ind w:right="85"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 xml:space="preserve">（一）热爱社会主义祖国，拥护中国共产党的领导； </w:t>
      </w:r>
    </w:p>
    <w:p>
      <w:pPr>
        <w:spacing w:before="0" w:line="560" w:lineRule="exact"/>
        <w:ind w:right="85"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 xml:space="preserve">（二）遵守宪法和法律，遵守学校各项规章制度；  </w:t>
      </w:r>
    </w:p>
    <w:p>
      <w:pPr>
        <w:spacing w:before="0" w:line="560" w:lineRule="exact"/>
        <w:ind w:right="85"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 xml:space="preserve">（三）诚实守信，品学兼优，身心健康；          </w:t>
      </w:r>
    </w:p>
    <w:p>
      <w:pPr>
        <w:spacing w:before="0" w:line="560" w:lineRule="exact"/>
        <w:ind w:right="85"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（四）积极参与科学研究和社会实践；</w:t>
      </w:r>
    </w:p>
    <w:p>
      <w:pPr>
        <w:spacing w:before="0" w:line="560" w:lineRule="exact"/>
        <w:ind w:right="85"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（五）学院正式录取，并按研究生学籍管理规定，完清注册手续(包括学费、住宿费等)的基本学制内全日制非在职硕士、博士研究生。</w:t>
      </w:r>
    </w:p>
    <w:p>
      <w:pPr>
        <w:spacing w:before="0" w:line="560" w:lineRule="exact"/>
        <w:ind w:right="85" w:firstLine="643" w:firstLineChars="200"/>
        <w:rPr>
          <w:rFonts w:ascii="仿宋" w:hAnsi="仿宋" w:eastAsia="仿宋" w:cs="仿宋"/>
          <w:snapToGrid/>
          <w:kern w:val="2"/>
          <w:sz w:val="32"/>
          <w:szCs w:val="32"/>
        </w:rPr>
      </w:pPr>
      <w:r>
        <w:rPr>
          <w:rFonts w:hint="eastAsia" w:ascii="仿宋" w:hAnsi="仿宋" w:eastAsia="仿宋" w:cs="仿宋"/>
          <w:b/>
          <w:sz w:val="32"/>
          <w:szCs w:val="32"/>
        </w:rPr>
        <w:t>第四条</w:t>
      </w:r>
      <w:r>
        <w:rPr>
          <w:rFonts w:hint="eastAsia" w:ascii="黑体" w:hAnsi="黑体" w:eastAsia="黑体" w:cs="黑体"/>
          <w:b/>
          <w:sz w:val="32"/>
          <w:szCs w:val="32"/>
        </w:rPr>
        <w:t xml:space="preserve"> </w:t>
      </w:r>
      <w:r>
        <w:rPr>
          <w:rFonts w:hint="eastAsia" w:ascii="仿宋" w:hAnsi="仿宋" w:eastAsia="仿宋" w:cs="仿宋"/>
          <w:snapToGrid/>
          <w:kern w:val="2"/>
          <w:sz w:val="32"/>
          <w:szCs w:val="32"/>
        </w:rPr>
        <w:t>研究生有以下情况之一者，不具备当年参评资格：</w:t>
      </w:r>
    </w:p>
    <w:p>
      <w:pPr>
        <w:spacing w:before="0" w:line="560" w:lineRule="exact"/>
        <w:ind w:right="85"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（一）不履行公民义务的；</w:t>
      </w:r>
    </w:p>
    <w:p>
      <w:pPr>
        <w:spacing w:before="0" w:line="560" w:lineRule="exact"/>
        <w:ind w:right="85"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（二）参评学年学籍状态处于休学、保留学籍的，待办理复学手续后恢复申请；</w:t>
      </w:r>
    </w:p>
    <w:p>
      <w:pPr>
        <w:spacing w:before="0" w:line="560" w:lineRule="exact"/>
        <w:ind w:right="85"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（三）研究生在休学所处学年已经评定并发放的，在复学后的相应学年不再参与评定；</w:t>
      </w:r>
    </w:p>
    <w:p>
      <w:pPr>
        <w:spacing w:before="0" w:line="560" w:lineRule="exact"/>
        <w:ind w:right="85"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（四）超出基本学制年限的；</w:t>
      </w:r>
    </w:p>
    <w:p>
      <w:pPr>
        <w:spacing w:before="0" w:line="560" w:lineRule="exact"/>
        <w:ind w:right="85"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（五）违反国家法律法规或校规校纪受到纪律处分的；</w:t>
      </w:r>
    </w:p>
    <w:p>
      <w:pPr>
        <w:spacing w:before="0" w:line="560" w:lineRule="exact"/>
        <w:ind w:right="85"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（六）考核学年有学术不端行为经查实的；</w:t>
      </w:r>
    </w:p>
    <w:p>
      <w:pPr>
        <w:spacing w:before="0" w:line="560" w:lineRule="exact"/>
        <w:ind w:right="85"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（七）考核学年课程考核有不合格情形的；</w:t>
      </w:r>
    </w:p>
    <w:p>
      <w:pPr>
        <w:spacing w:before="0" w:line="560" w:lineRule="exact"/>
        <w:ind w:right="85"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（八）考核学年专业实践考核不合格的；</w:t>
      </w:r>
    </w:p>
    <w:p>
      <w:pPr>
        <w:spacing w:before="0" w:line="560" w:lineRule="exact"/>
        <w:ind w:right="85"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（九）考核学年中期考核或学科综合考试不合格的；</w:t>
      </w:r>
    </w:p>
    <w:p>
      <w:pPr>
        <w:spacing w:before="0" w:line="560" w:lineRule="exact"/>
        <w:ind w:right="85"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（十）经核查没有缴纳学费的；</w:t>
      </w:r>
    </w:p>
    <w:p>
      <w:pPr>
        <w:spacing w:before="0" w:line="560" w:lineRule="exact"/>
        <w:ind w:right="85"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（十一）经认定有其他不应获得学业奖学金情形的。</w:t>
      </w:r>
    </w:p>
    <w:p>
      <w:pPr>
        <w:spacing w:before="0" w:line="560" w:lineRule="exact"/>
        <w:ind w:right="85" w:firstLine="643" w:firstLineChars="200"/>
        <w:jc w:val="both"/>
        <w:rPr>
          <w:rFonts w:ascii="仿宋" w:hAnsi="仿宋" w:eastAsia="仿宋" w:cs="仿宋"/>
          <w:snapToGrid/>
          <w:kern w:val="2"/>
          <w:sz w:val="32"/>
          <w:szCs w:val="32"/>
        </w:rPr>
      </w:pPr>
      <w:r>
        <w:rPr>
          <w:rFonts w:hint="eastAsia" w:ascii="仿宋" w:hAnsi="仿宋" w:eastAsia="仿宋" w:cs="仿宋"/>
          <w:b/>
          <w:sz w:val="32"/>
          <w:szCs w:val="32"/>
        </w:rPr>
        <w:t>第五条</w:t>
      </w:r>
      <w:r>
        <w:rPr>
          <w:rFonts w:hint="eastAsia" w:ascii="黑体" w:hAnsi="黑体" w:eastAsia="黑体" w:cs="黑体"/>
          <w:b/>
          <w:sz w:val="32"/>
          <w:szCs w:val="32"/>
        </w:rPr>
        <w:t xml:space="preserve"> </w:t>
      </w:r>
      <w:r>
        <w:rPr>
          <w:rFonts w:hint="eastAsia" w:ascii="仿宋" w:hAnsi="仿宋" w:eastAsia="仿宋" w:cs="仿宋"/>
          <w:snapToGrid/>
          <w:kern w:val="2"/>
          <w:sz w:val="32"/>
          <w:szCs w:val="32"/>
        </w:rPr>
        <w:t>有以下情况之一者，终止研究生评定资格和追回已发放研究生学业奖学金：</w:t>
      </w:r>
    </w:p>
    <w:p>
      <w:pPr>
        <w:spacing w:before="0" w:line="560" w:lineRule="exact"/>
        <w:ind w:right="85" w:firstLine="640" w:firstLineChars="200"/>
        <w:jc w:val="both"/>
        <w:rPr>
          <w:rFonts w:ascii="仿宋" w:hAnsi="仿宋" w:eastAsia="仿宋" w:cs="仿宋"/>
          <w:snapToGrid/>
          <w:kern w:val="2"/>
          <w:sz w:val="32"/>
          <w:szCs w:val="32"/>
        </w:rPr>
      </w:pPr>
      <w:r>
        <w:rPr>
          <w:rFonts w:hint="eastAsia" w:ascii="仿宋" w:hAnsi="仿宋" w:eastAsia="仿宋" w:cs="仿宋"/>
          <w:snapToGrid/>
          <w:kern w:val="2"/>
          <w:sz w:val="32"/>
          <w:szCs w:val="32"/>
        </w:rPr>
        <w:t>（一）申请休学的研究生，休学期间暂停评定，办理复学手续后予以恢复。休学所处学年已经评定并发放的，复学后在相应学年不再参与评定；</w:t>
      </w:r>
    </w:p>
    <w:p>
      <w:pPr>
        <w:spacing w:before="0" w:line="560" w:lineRule="exact"/>
        <w:ind w:right="85" w:firstLine="640" w:firstLineChars="200"/>
        <w:jc w:val="both"/>
        <w:rPr>
          <w:rFonts w:ascii="仿宋" w:hAnsi="仿宋" w:eastAsia="仿宋" w:cs="仿宋"/>
          <w:snapToGrid/>
          <w:kern w:val="2"/>
          <w:sz w:val="32"/>
          <w:szCs w:val="32"/>
        </w:rPr>
      </w:pPr>
      <w:r>
        <w:rPr>
          <w:rFonts w:hint="eastAsia" w:ascii="仿宋" w:hAnsi="仿宋" w:eastAsia="仿宋" w:cs="仿宋"/>
          <w:snapToGrid/>
          <w:kern w:val="2"/>
          <w:sz w:val="32"/>
          <w:szCs w:val="32"/>
        </w:rPr>
        <w:t>（二）在基本学制年限内退学或被开除学籍的研究生，自当学年起停止评定和发放，追回其当学年所获得研究生学业奖学金；</w:t>
      </w:r>
    </w:p>
    <w:p>
      <w:pPr>
        <w:spacing w:before="0" w:line="560" w:lineRule="exact"/>
        <w:ind w:right="85" w:firstLine="640" w:firstLineChars="200"/>
        <w:jc w:val="both"/>
        <w:rPr>
          <w:rFonts w:ascii="仿宋" w:hAnsi="仿宋" w:eastAsia="仿宋" w:cs="仿宋"/>
          <w:snapToGrid/>
          <w:kern w:val="2"/>
          <w:sz w:val="32"/>
          <w:szCs w:val="32"/>
        </w:rPr>
      </w:pPr>
      <w:r>
        <w:rPr>
          <w:rFonts w:hint="eastAsia" w:ascii="仿宋" w:hAnsi="仿宋" w:eastAsia="仿宋" w:cs="仿宋"/>
          <w:snapToGrid/>
          <w:kern w:val="2"/>
          <w:sz w:val="32"/>
          <w:szCs w:val="32"/>
        </w:rPr>
        <w:t>（三）研究生出国、保留学籍期间，停发其研究生国家助学金(含学校补助)；</w:t>
      </w:r>
    </w:p>
    <w:p>
      <w:pPr>
        <w:spacing w:before="0" w:line="560" w:lineRule="exact"/>
        <w:ind w:right="85" w:firstLine="640" w:firstLineChars="200"/>
        <w:jc w:val="both"/>
        <w:rPr>
          <w:rFonts w:ascii="仿宋" w:hAnsi="仿宋" w:eastAsia="仿宋" w:cs="仿宋"/>
          <w:snapToGrid/>
          <w:kern w:val="2"/>
          <w:sz w:val="32"/>
          <w:szCs w:val="32"/>
        </w:rPr>
      </w:pPr>
      <w:r>
        <w:rPr>
          <w:rFonts w:hint="eastAsia" w:ascii="仿宋" w:hAnsi="仿宋" w:eastAsia="仿宋" w:cs="仿宋"/>
          <w:snapToGrid/>
          <w:kern w:val="2"/>
          <w:sz w:val="32"/>
          <w:szCs w:val="32"/>
        </w:rPr>
        <w:t>（四）以弄虚作假获得奖学金资格者，追回其已享受奖学金并严肃处理；</w:t>
      </w:r>
    </w:p>
    <w:p>
      <w:pPr>
        <w:spacing w:before="0" w:line="560" w:lineRule="exact"/>
        <w:ind w:right="85" w:firstLine="640" w:firstLineChars="200"/>
        <w:jc w:val="both"/>
        <w:rPr>
          <w:rFonts w:ascii="仿宋" w:hAnsi="仿宋" w:eastAsia="仿宋" w:cs="仿宋"/>
          <w:snapToGrid/>
          <w:kern w:val="2"/>
          <w:sz w:val="32"/>
          <w:szCs w:val="32"/>
        </w:rPr>
      </w:pPr>
      <w:r>
        <w:rPr>
          <w:rFonts w:hint="eastAsia" w:ascii="仿宋" w:hAnsi="仿宋" w:eastAsia="仿宋" w:cs="仿宋"/>
          <w:snapToGrid/>
          <w:kern w:val="2"/>
          <w:sz w:val="32"/>
          <w:szCs w:val="32"/>
        </w:rPr>
        <w:t>（五）直博生和硕博连读研究生因个人申请或考核不合格原因转为硕士研究生者，停发博士研究生学业奖学金，同时退还批准之日前享受的高于硕士研究生学业奖学金部分的奖学金；</w:t>
      </w:r>
    </w:p>
    <w:p>
      <w:pPr>
        <w:spacing w:before="0" w:line="560" w:lineRule="exact"/>
        <w:ind w:right="85" w:firstLine="640" w:firstLineChars="200"/>
        <w:jc w:val="both"/>
        <w:rPr>
          <w:rFonts w:ascii="仿宋" w:hAnsi="仿宋" w:eastAsia="仿宋" w:cs="仿宋"/>
          <w:snapToGrid/>
          <w:kern w:val="2"/>
          <w:sz w:val="32"/>
          <w:szCs w:val="32"/>
        </w:rPr>
      </w:pPr>
      <w:r>
        <w:rPr>
          <w:rFonts w:hint="eastAsia" w:ascii="仿宋" w:hAnsi="仿宋" w:eastAsia="仿宋" w:cs="仿宋"/>
          <w:snapToGrid/>
          <w:kern w:val="2"/>
          <w:sz w:val="32"/>
          <w:szCs w:val="32"/>
        </w:rPr>
        <w:t>（六）违反国家法律或校规校纪，受到学校纪律处分者；</w:t>
      </w:r>
    </w:p>
    <w:p>
      <w:pPr>
        <w:spacing w:before="0" w:line="560" w:lineRule="exact"/>
        <w:ind w:right="85" w:firstLine="640" w:firstLineChars="200"/>
        <w:jc w:val="both"/>
        <w:rPr>
          <w:rFonts w:ascii="仿宋" w:hAnsi="仿宋" w:eastAsia="仿宋" w:cs="仿宋"/>
          <w:snapToGrid/>
          <w:kern w:val="2"/>
          <w:sz w:val="32"/>
          <w:szCs w:val="32"/>
        </w:rPr>
      </w:pPr>
      <w:r>
        <w:rPr>
          <w:rFonts w:hint="eastAsia" w:ascii="仿宋" w:hAnsi="仿宋" w:eastAsia="仿宋" w:cs="仿宋"/>
          <w:snapToGrid/>
          <w:kern w:val="2"/>
          <w:sz w:val="32"/>
          <w:szCs w:val="32"/>
        </w:rPr>
        <w:t>（七）不假离校或请假未获批私自离校，时间累计超过两周者，停发其研究生国家助学金(含学校补助)；</w:t>
      </w:r>
    </w:p>
    <w:p>
      <w:pPr>
        <w:spacing w:before="0" w:line="560" w:lineRule="exact"/>
        <w:ind w:right="85" w:firstLine="640" w:firstLineChars="200"/>
        <w:jc w:val="both"/>
        <w:rPr>
          <w:rFonts w:ascii="仿宋" w:hAnsi="仿宋" w:eastAsia="仿宋" w:cs="仿宋"/>
          <w:snapToGrid/>
          <w:kern w:val="2"/>
          <w:sz w:val="32"/>
          <w:szCs w:val="32"/>
        </w:rPr>
      </w:pPr>
      <w:r>
        <w:rPr>
          <w:rFonts w:hint="eastAsia" w:ascii="仿宋" w:hAnsi="仿宋" w:eastAsia="仿宋" w:cs="仿宋"/>
          <w:snapToGrid/>
          <w:kern w:val="2"/>
          <w:sz w:val="32"/>
          <w:szCs w:val="32"/>
        </w:rPr>
        <w:t>（八）违反学术道德规范的，公开发表的论文有抄袭剽窃、弄虚作假等学术行为不端者。</w:t>
      </w:r>
    </w:p>
    <w:p>
      <w:pPr>
        <w:kinsoku/>
        <w:autoSpaceDE/>
        <w:autoSpaceDN/>
        <w:adjustRightInd/>
        <w:snapToGrid/>
        <w:spacing w:before="0" w:beforeLines="0" w:after="0" w:afterLines="0"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第四章 评定规则</w:t>
      </w:r>
    </w:p>
    <w:p>
      <w:pPr>
        <w:spacing w:before="0" w:line="560" w:lineRule="exact"/>
        <w:ind w:left="40" w:right="91" w:firstLine="465"/>
        <w:rPr>
          <w:rFonts w:ascii="黑体" w:hAnsi="黑体" w:eastAsia="黑体" w:cs="黑体"/>
          <w:b/>
          <w:sz w:val="32"/>
          <w:szCs w:val="32"/>
        </w:rPr>
      </w:pPr>
      <w:r>
        <w:rPr>
          <w:rFonts w:hint="eastAsia" w:ascii="仿宋" w:hAnsi="仿宋" w:eastAsia="仿宋" w:cs="仿宋"/>
          <w:b/>
          <w:sz w:val="32"/>
          <w:szCs w:val="32"/>
        </w:rPr>
        <w:t>第六条</w:t>
      </w:r>
      <w:r>
        <w:rPr>
          <w:rFonts w:hint="eastAsia" w:ascii="黑体" w:hAnsi="黑体" w:eastAsia="黑体" w:cs="黑体"/>
          <w:b/>
          <w:sz w:val="32"/>
          <w:szCs w:val="32"/>
        </w:rPr>
        <w:t xml:space="preserve"> </w:t>
      </w:r>
      <w:r>
        <w:rPr>
          <w:rFonts w:hint="eastAsia" w:ascii="仿宋" w:hAnsi="仿宋" w:eastAsia="仿宋" w:cs="仿宋"/>
          <w:snapToGrid/>
          <w:kern w:val="2"/>
          <w:sz w:val="32"/>
          <w:szCs w:val="32"/>
        </w:rPr>
        <w:t>评定规则</w:t>
      </w:r>
    </w:p>
    <w:p>
      <w:pPr>
        <w:spacing w:before="0" w:line="560" w:lineRule="exact"/>
        <w:ind w:left="40" w:right="91" w:firstLine="465"/>
        <w:rPr>
          <w:rFonts w:ascii="仿宋" w:hAnsi="仿宋" w:eastAsia="仿宋" w:cs="仿宋"/>
          <w:snapToGrid/>
          <w:kern w:val="2"/>
          <w:sz w:val="32"/>
          <w:szCs w:val="32"/>
        </w:rPr>
      </w:pPr>
      <w:r>
        <w:rPr>
          <w:rFonts w:hint="eastAsia" w:ascii="仿宋" w:hAnsi="仿宋" w:eastAsia="仿宋" w:cs="仿宋"/>
          <w:snapToGrid/>
          <w:kern w:val="2"/>
          <w:sz w:val="32"/>
          <w:szCs w:val="32"/>
        </w:rPr>
        <w:t>（一）一年级研究生</w:t>
      </w:r>
    </w:p>
    <w:p>
      <w:pPr>
        <w:spacing w:before="0" w:line="560" w:lineRule="exact"/>
        <w:ind w:left="40" w:right="91" w:firstLine="465"/>
        <w:jc w:val="both"/>
        <w:rPr>
          <w:rFonts w:ascii="仿宋" w:hAnsi="仿宋" w:eastAsia="仿宋" w:cs="仿宋"/>
          <w:snapToGrid/>
          <w:kern w:val="2"/>
          <w:sz w:val="32"/>
          <w:szCs w:val="32"/>
        </w:rPr>
      </w:pPr>
      <w:r>
        <w:rPr>
          <w:rFonts w:hint="eastAsia" w:ascii="仿宋" w:hAnsi="仿宋" w:eastAsia="仿宋" w:cs="仿宋"/>
          <w:snapToGrid/>
          <w:kern w:val="2"/>
          <w:sz w:val="32"/>
          <w:szCs w:val="32"/>
        </w:rPr>
        <w:t>推荐免试研究生及“少数民族高层次骨干人才计划”直接享受一等学业奖学金；公开招考研究生(含专项计划)按照研究生入学考试综合成绩(依据招生复试录取工作实施细则的规定执行)高低评定学业奖学金等级。</w:t>
      </w:r>
    </w:p>
    <w:p>
      <w:pPr>
        <w:spacing w:before="0" w:line="560" w:lineRule="exact"/>
        <w:ind w:left="40" w:right="91" w:firstLine="465"/>
        <w:rPr>
          <w:rFonts w:ascii="仿宋" w:hAnsi="仿宋" w:eastAsia="仿宋" w:cs="仿宋"/>
          <w:snapToGrid/>
          <w:kern w:val="2"/>
          <w:sz w:val="32"/>
          <w:szCs w:val="32"/>
        </w:rPr>
      </w:pPr>
      <w:r>
        <w:rPr>
          <w:rFonts w:hint="eastAsia" w:ascii="仿宋" w:hAnsi="仿宋" w:eastAsia="仿宋" w:cs="仿宋"/>
          <w:snapToGrid/>
          <w:kern w:val="2"/>
          <w:sz w:val="32"/>
          <w:szCs w:val="32"/>
        </w:rPr>
        <w:t>（二）二、三年级研究生</w:t>
      </w:r>
    </w:p>
    <w:p>
      <w:pPr>
        <w:spacing w:before="0" w:line="560" w:lineRule="exact"/>
        <w:ind w:left="40" w:right="91" w:firstLine="465"/>
        <w:rPr>
          <w:rFonts w:ascii="仿宋" w:hAnsi="仿宋" w:eastAsia="仿宋" w:cs="仿宋"/>
          <w:snapToGrid/>
          <w:kern w:val="2"/>
          <w:sz w:val="32"/>
          <w:szCs w:val="32"/>
        </w:rPr>
      </w:pPr>
      <w:r>
        <w:rPr>
          <w:rFonts w:hint="eastAsia" w:ascii="仿宋" w:hAnsi="仿宋" w:eastAsia="仿宋" w:cs="仿宋"/>
          <w:snapToGrid/>
          <w:kern w:val="2"/>
          <w:sz w:val="32"/>
          <w:szCs w:val="32"/>
        </w:rPr>
        <w:t>学业奖学金以研究生综合考评成绩为评审依据。各年级专业按照综合考评成绩从高到低排序，评选确定每位研究生的学业奖学金等级。</w:t>
      </w:r>
    </w:p>
    <w:p>
      <w:pPr>
        <w:kinsoku/>
        <w:autoSpaceDE/>
        <w:autoSpaceDN/>
        <w:adjustRightInd/>
        <w:snapToGrid/>
        <w:spacing w:before="0" w:beforeLines="0" w:after="0" w:afterLines="0"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第五章 评定要求</w:t>
      </w:r>
    </w:p>
    <w:p>
      <w:pPr>
        <w:spacing w:before="0" w:line="560" w:lineRule="exact"/>
        <w:ind w:left="40" w:right="91" w:firstLine="465"/>
        <w:rPr>
          <w:rFonts w:ascii="仿宋" w:hAnsi="仿宋" w:eastAsia="仿宋" w:cs="仿宋"/>
          <w:color w:val="auto"/>
          <w:spacing w:val="-1"/>
          <w:sz w:val="24"/>
          <w:szCs w:val="24"/>
        </w:rPr>
      </w:pPr>
      <w:r>
        <w:rPr>
          <w:rFonts w:hint="eastAsia" w:ascii="仿宋" w:hAnsi="仿宋" w:eastAsia="仿宋" w:cs="仿宋"/>
          <w:b/>
          <w:sz w:val="32"/>
          <w:szCs w:val="32"/>
        </w:rPr>
        <w:t>第七条</w:t>
      </w:r>
      <w:r>
        <w:rPr>
          <w:rFonts w:hint="eastAsia" w:ascii="仿宋" w:hAnsi="仿宋" w:eastAsia="仿宋" w:cs="仿宋"/>
          <w:color w:val="auto"/>
          <w:spacing w:val="-1"/>
          <w:sz w:val="24"/>
          <w:szCs w:val="24"/>
        </w:rPr>
        <w:t xml:space="preserve"> </w:t>
      </w:r>
      <w:r>
        <w:rPr>
          <w:rFonts w:hint="eastAsia" w:ascii="仿宋" w:hAnsi="仿宋" w:eastAsia="仿宋" w:cs="仿宋"/>
          <w:snapToGrid/>
          <w:kern w:val="2"/>
          <w:sz w:val="32"/>
          <w:szCs w:val="32"/>
        </w:rPr>
        <w:t>评定要求</w:t>
      </w:r>
    </w:p>
    <w:p>
      <w:pPr>
        <w:spacing w:before="0" w:line="560" w:lineRule="exact"/>
        <w:ind w:left="40" w:right="91" w:firstLine="465"/>
        <w:rPr>
          <w:rFonts w:ascii="仿宋" w:hAnsi="仿宋" w:eastAsia="仿宋" w:cs="仿宋"/>
          <w:snapToGrid/>
          <w:kern w:val="2"/>
          <w:sz w:val="32"/>
          <w:szCs w:val="32"/>
        </w:rPr>
      </w:pPr>
      <w:r>
        <w:rPr>
          <w:rFonts w:hint="eastAsia" w:ascii="仿宋" w:hAnsi="仿宋" w:eastAsia="仿宋" w:cs="仿宋"/>
          <w:snapToGrid/>
          <w:kern w:val="2"/>
          <w:sz w:val="32"/>
          <w:szCs w:val="32"/>
        </w:rPr>
        <w:t>（一）评选工作严格遵循“公开、公平、公正”原则，按照“学生申请、导师把关、学院初评、学校审定”程序进行。</w:t>
      </w:r>
    </w:p>
    <w:p>
      <w:pPr>
        <w:spacing w:before="0" w:line="560" w:lineRule="exact"/>
        <w:ind w:left="40" w:right="91" w:firstLine="465"/>
        <w:rPr>
          <w:rFonts w:ascii="仿宋" w:hAnsi="仿宋" w:eastAsia="仿宋" w:cs="仿宋"/>
          <w:snapToGrid/>
          <w:kern w:val="2"/>
          <w:sz w:val="32"/>
          <w:szCs w:val="32"/>
        </w:rPr>
      </w:pPr>
      <w:r>
        <w:rPr>
          <w:rFonts w:hint="eastAsia" w:ascii="仿宋" w:hAnsi="仿宋" w:eastAsia="仿宋" w:cs="仿宋"/>
          <w:snapToGrid/>
          <w:kern w:val="2"/>
          <w:sz w:val="32"/>
          <w:szCs w:val="32"/>
        </w:rPr>
        <w:t>（二）学校党委研究生工作部下达通知后，</w:t>
      </w:r>
      <w:bookmarkStart w:id="0" w:name="_Hlk115812582"/>
      <w:r>
        <w:rPr>
          <w:rFonts w:hint="eastAsia" w:ascii="仿宋" w:hAnsi="仿宋" w:eastAsia="仿宋" w:cs="仿宋"/>
          <w:snapToGrid/>
          <w:kern w:val="2"/>
          <w:sz w:val="32"/>
          <w:szCs w:val="32"/>
        </w:rPr>
        <w:t>学院成立研究生奖助评审工作组、研究生</w:t>
      </w:r>
      <w:bookmarkEnd w:id="0"/>
      <w:r>
        <w:rPr>
          <w:rFonts w:hint="eastAsia" w:ascii="仿宋" w:hAnsi="仿宋" w:eastAsia="仿宋" w:cs="仿宋"/>
          <w:snapToGrid/>
          <w:kern w:val="2"/>
          <w:sz w:val="32"/>
          <w:szCs w:val="32"/>
        </w:rPr>
        <w:t>奖助评审小组等，负责组织和实施学院研究生学业奖学金的评定。</w:t>
      </w:r>
    </w:p>
    <w:p>
      <w:pPr>
        <w:spacing w:before="0" w:line="560" w:lineRule="exact"/>
        <w:ind w:left="40" w:right="91" w:firstLine="465"/>
        <w:rPr>
          <w:rFonts w:ascii="仿宋" w:hAnsi="仿宋" w:eastAsia="仿宋" w:cs="仿宋"/>
          <w:snapToGrid/>
          <w:kern w:val="2"/>
          <w:sz w:val="32"/>
          <w:szCs w:val="32"/>
        </w:rPr>
      </w:pPr>
      <w:r>
        <w:rPr>
          <w:rFonts w:hint="eastAsia" w:ascii="仿宋" w:hAnsi="仿宋" w:eastAsia="仿宋" w:cs="仿宋"/>
          <w:snapToGrid/>
          <w:kern w:val="2"/>
          <w:sz w:val="32"/>
          <w:szCs w:val="32"/>
        </w:rPr>
        <w:t>（三）“3+1+2”研究生在学号所在年级参评。硕博连读研究生按照评定当年的学籍身份参评。</w:t>
      </w:r>
    </w:p>
    <w:p>
      <w:pPr>
        <w:spacing w:before="0" w:line="560" w:lineRule="exact"/>
        <w:ind w:left="40" w:right="91" w:firstLine="465"/>
        <w:rPr>
          <w:rFonts w:ascii="仿宋" w:hAnsi="仿宋" w:eastAsia="仿宋" w:cs="仿宋"/>
          <w:snapToGrid/>
          <w:kern w:val="2"/>
          <w:sz w:val="32"/>
          <w:szCs w:val="32"/>
        </w:rPr>
      </w:pPr>
      <w:r>
        <w:rPr>
          <w:rFonts w:hint="eastAsia" w:ascii="仿宋" w:hAnsi="仿宋" w:eastAsia="仿宋" w:cs="仿宋"/>
          <w:snapToGrid/>
          <w:kern w:val="2"/>
          <w:sz w:val="32"/>
          <w:szCs w:val="32"/>
        </w:rPr>
        <w:t>（四）参评学年学籍状态处于休学、保留学籍的，待办理复学手续后恢复申请资格，并随下一年级进行奖学金评定。</w:t>
      </w:r>
    </w:p>
    <w:p>
      <w:pPr>
        <w:spacing w:before="0" w:line="560" w:lineRule="exact"/>
        <w:ind w:left="40" w:right="91" w:firstLine="465"/>
        <w:rPr>
          <w:rFonts w:ascii="仿宋" w:hAnsi="仿宋" w:eastAsia="仿宋" w:cs="仿宋"/>
          <w:snapToGrid/>
          <w:kern w:val="2"/>
          <w:sz w:val="32"/>
          <w:szCs w:val="32"/>
        </w:rPr>
      </w:pPr>
      <w:r>
        <w:rPr>
          <w:rFonts w:hint="eastAsia" w:ascii="仿宋" w:hAnsi="仿宋" w:eastAsia="仿宋" w:cs="仿宋"/>
          <w:snapToGrid/>
          <w:kern w:val="2"/>
          <w:sz w:val="32"/>
          <w:szCs w:val="32"/>
        </w:rPr>
        <w:t>（五）研究生支教团成员，在支教期间通过考核且研究生在读期间学业成绩考核合格、无违法违纪者，均享受一等学业奖学金。</w:t>
      </w:r>
    </w:p>
    <w:p>
      <w:pPr>
        <w:kinsoku/>
        <w:autoSpaceDE/>
        <w:autoSpaceDN/>
        <w:adjustRightInd/>
        <w:snapToGrid/>
        <w:spacing w:before="0" w:beforeLines="0" w:after="0" w:afterLines="0"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第六章 评审程序与组织</w:t>
      </w:r>
    </w:p>
    <w:p>
      <w:pPr>
        <w:kinsoku/>
        <w:autoSpaceDE/>
        <w:autoSpaceDN/>
        <w:adjustRightInd/>
        <w:snapToGrid/>
        <w:spacing w:before="0" w:beforeLines="0" w:after="0" w:afterLines="0" w:line="560" w:lineRule="exact"/>
        <w:ind w:firstLine="643" w:firstLineChars="200"/>
        <w:jc w:val="both"/>
        <w:textAlignment w:val="auto"/>
        <w:rPr>
          <w:rFonts w:ascii="仿宋" w:hAnsi="仿宋" w:eastAsia="仿宋" w:cs="仿宋"/>
          <w:snapToGrid/>
          <w:kern w:val="2"/>
          <w:sz w:val="32"/>
          <w:szCs w:val="32"/>
        </w:rPr>
      </w:pPr>
      <w:r>
        <w:rPr>
          <w:rFonts w:hint="eastAsia" w:ascii="仿宋" w:hAnsi="仿宋" w:eastAsia="仿宋" w:cs="仿宋"/>
          <w:b/>
          <w:sz w:val="32"/>
          <w:szCs w:val="32"/>
        </w:rPr>
        <w:t xml:space="preserve">第八条 </w:t>
      </w:r>
      <w:r>
        <w:rPr>
          <w:rFonts w:hint="eastAsia" w:ascii="仿宋" w:hAnsi="仿宋" w:eastAsia="仿宋" w:cs="仿宋"/>
          <w:snapToGrid/>
          <w:kern w:val="2"/>
          <w:sz w:val="32"/>
          <w:szCs w:val="32"/>
        </w:rPr>
        <w:t>评审程序</w:t>
      </w:r>
    </w:p>
    <w:p>
      <w:pPr>
        <w:kinsoku/>
        <w:autoSpaceDE/>
        <w:autoSpaceDN/>
        <w:adjustRightInd/>
        <w:snapToGrid/>
        <w:spacing w:before="0" w:beforeLines="0" w:after="0" w:afterLines="0" w:line="560" w:lineRule="exact"/>
        <w:ind w:firstLine="640" w:firstLineChars="200"/>
        <w:jc w:val="both"/>
        <w:textAlignment w:val="auto"/>
        <w:rPr>
          <w:rFonts w:hint="eastAsia" w:ascii="仿宋" w:hAnsi="仿宋" w:eastAsia="仿宋" w:cs="仿宋"/>
          <w:bCs/>
          <w:sz w:val="32"/>
          <w:szCs w:val="32"/>
        </w:rPr>
      </w:pPr>
      <w:r>
        <w:rPr>
          <w:rFonts w:hint="eastAsia" w:ascii="仿宋" w:hAnsi="仿宋" w:eastAsia="仿宋" w:cs="仿宋"/>
          <w:snapToGrid/>
          <w:kern w:val="2"/>
          <w:sz w:val="32"/>
          <w:szCs w:val="32"/>
        </w:rPr>
        <w:t>（一）研究生自主申请</w:t>
      </w:r>
    </w:p>
    <w:p>
      <w:pPr>
        <w:kinsoku/>
        <w:autoSpaceDE/>
        <w:autoSpaceDN/>
        <w:adjustRightInd/>
        <w:snapToGrid/>
        <w:spacing w:before="0" w:beforeLines="0" w:after="0" w:afterLines="0"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符合条件的研究生填写申请表，经导师签字同意，附上支撑材料，提交申请。</w:t>
      </w:r>
    </w:p>
    <w:p>
      <w:pPr>
        <w:kinsoku/>
        <w:autoSpaceDE/>
        <w:autoSpaceDN/>
        <w:adjustRightInd/>
        <w:snapToGrid/>
        <w:spacing w:before="0" w:beforeLines="0" w:after="0" w:afterLines="0"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（二）研究生奖助评审小组初审</w:t>
      </w:r>
    </w:p>
    <w:p>
      <w:pPr>
        <w:kinsoku/>
        <w:autoSpaceDE/>
        <w:autoSpaceDN/>
        <w:adjustRightInd/>
        <w:snapToGrid/>
        <w:spacing w:before="0" w:beforeLines="0" w:after="0" w:afterLines="0"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学院</w:t>
      </w:r>
      <w:r>
        <w:rPr>
          <w:rFonts w:hint="eastAsia" w:ascii="仿宋" w:hAnsi="仿宋" w:eastAsia="仿宋" w:cs="仿宋"/>
          <w:sz w:val="31"/>
          <w:szCs w:val="31"/>
          <w:lang w:bidi="ar"/>
        </w:rPr>
        <w:t>研究生奖助评审小组</w:t>
      </w:r>
      <w:r>
        <w:rPr>
          <w:rFonts w:hint="eastAsia" w:ascii="仿宋" w:hAnsi="仿宋" w:eastAsia="仿宋" w:cs="仿宋"/>
          <w:snapToGrid/>
          <w:kern w:val="2"/>
          <w:sz w:val="32"/>
          <w:szCs w:val="32"/>
        </w:rPr>
        <w:t>对研究生申请资格及材料进行审核，确保申请研究生资格条件、申请材料客观真实。</w:t>
      </w:r>
    </w:p>
    <w:p>
      <w:pPr>
        <w:kinsoku/>
        <w:autoSpaceDE/>
        <w:autoSpaceDN/>
        <w:adjustRightInd/>
        <w:snapToGrid/>
        <w:spacing w:before="0" w:beforeLines="0" w:after="0" w:afterLines="0"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（三）学院初评</w:t>
      </w:r>
    </w:p>
    <w:p>
      <w:pPr>
        <w:kinsoku/>
        <w:autoSpaceDE/>
        <w:autoSpaceDN/>
        <w:adjustRightInd/>
        <w:snapToGrid/>
        <w:spacing w:before="0" w:beforeLines="0" w:after="0" w:afterLines="0" w:line="560" w:lineRule="exact"/>
        <w:ind w:firstLine="620" w:firstLineChars="200"/>
        <w:jc w:val="both"/>
        <w:textAlignment w:val="auto"/>
        <w:rPr>
          <w:rFonts w:ascii="仿宋" w:hAnsi="仿宋" w:eastAsia="仿宋" w:cs="仿宋"/>
          <w:snapToGrid/>
          <w:kern w:val="2"/>
          <w:sz w:val="32"/>
          <w:szCs w:val="32"/>
        </w:rPr>
      </w:pPr>
      <w:r>
        <w:rPr>
          <w:rFonts w:hint="eastAsia" w:ascii="仿宋" w:hAnsi="仿宋" w:eastAsia="仿宋" w:cs="仿宋"/>
          <w:sz w:val="31"/>
          <w:szCs w:val="31"/>
          <w:lang w:bidi="ar"/>
        </w:rPr>
        <w:t>研究生奖助评审小组</w:t>
      </w:r>
      <w:r>
        <w:rPr>
          <w:rFonts w:hint="eastAsia" w:ascii="仿宋" w:hAnsi="仿宋" w:eastAsia="仿宋" w:cs="仿宋"/>
          <w:snapToGrid/>
          <w:kern w:val="2"/>
          <w:sz w:val="32"/>
          <w:szCs w:val="32"/>
        </w:rPr>
        <w:t>对提出申请的研究生进行积分和排序，按照从高向低顺序确定其享受学业奖学金的等级，产生学业奖学金初评名单，报</w:t>
      </w:r>
      <w:r>
        <w:rPr>
          <w:rFonts w:hint="eastAsia" w:ascii="仿宋" w:hAnsi="仿宋" w:eastAsia="仿宋" w:cs="仿宋"/>
          <w:sz w:val="31"/>
          <w:szCs w:val="31"/>
          <w:lang w:bidi="ar"/>
        </w:rPr>
        <w:t>研究生奖助评审工作组</w:t>
      </w:r>
      <w:r>
        <w:rPr>
          <w:rFonts w:hint="eastAsia" w:ascii="仿宋" w:hAnsi="仿宋" w:eastAsia="仿宋" w:cs="仿宋"/>
          <w:sz w:val="31"/>
          <w:szCs w:val="31"/>
          <w:lang w:bidi="ar"/>
        </w:rPr>
        <w:t>审核，</w:t>
      </w:r>
      <w:r>
        <w:rPr>
          <w:rFonts w:hint="eastAsia" w:ascii="仿宋" w:hAnsi="仿宋" w:eastAsia="仿宋" w:cs="仿宋"/>
          <w:snapToGrid/>
          <w:kern w:val="2"/>
          <w:sz w:val="32"/>
          <w:szCs w:val="32"/>
        </w:rPr>
        <w:t>审核无误后对名单进行公示。</w:t>
      </w:r>
    </w:p>
    <w:p>
      <w:pPr>
        <w:kinsoku/>
        <w:autoSpaceDE/>
        <w:autoSpaceDN/>
        <w:adjustRightInd/>
        <w:snapToGrid/>
        <w:spacing w:before="0" w:beforeLines="0" w:after="0" w:afterLines="0"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（四）学校审定</w:t>
      </w:r>
    </w:p>
    <w:p>
      <w:pPr>
        <w:kinsoku/>
        <w:autoSpaceDE/>
        <w:autoSpaceDN/>
        <w:adjustRightInd/>
        <w:snapToGrid/>
        <w:spacing w:before="0" w:beforeLines="0" w:after="0" w:afterLines="0"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学院初评结果公示无异议后上报学校党委研究生工作部，党委研究生工作部对初评结果进行复审，审核无误后报学校研究生奖助学金评审领导小组最终审定并公示。</w:t>
      </w:r>
    </w:p>
    <w:p>
      <w:pPr>
        <w:kinsoku/>
        <w:autoSpaceDE/>
        <w:autoSpaceDN/>
        <w:adjustRightInd/>
        <w:snapToGrid/>
        <w:spacing w:before="0" w:beforeLines="0" w:after="0" w:afterLines="0"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（五）财务处发放</w:t>
      </w:r>
    </w:p>
    <w:p>
      <w:pPr>
        <w:kinsoku/>
        <w:autoSpaceDE/>
        <w:autoSpaceDN/>
        <w:adjustRightInd/>
        <w:snapToGrid/>
        <w:spacing w:before="0" w:beforeLines="0" w:after="0" w:afterLines="0"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学校研究生奖助学金评审领导小组审定公示无异议后，由</w:t>
      </w:r>
      <w:bookmarkStart w:id="1" w:name="_Hlk115812909"/>
      <w:r>
        <w:rPr>
          <w:rFonts w:hint="eastAsia" w:ascii="仿宋" w:hAnsi="仿宋" w:eastAsia="仿宋" w:cs="仿宋"/>
          <w:snapToGrid/>
          <w:kern w:val="2"/>
          <w:sz w:val="32"/>
          <w:szCs w:val="32"/>
        </w:rPr>
        <w:t>学校党委研究生工作部报财务处发放奖学金。</w:t>
      </w:r>
      <w:bookmarkEnd w:id="1"/>
    </w:p>
    <w:p>
      <w:pPr>
        <w:kinsoku/>
        <w:autoSpaceDE/>
        <w:autoSpaceDN/>
        <w:adjustRightInd/>
        <w:snapToGrid/>
        <w:spacing w:before="0" w:beforeLines="0" w:after="0" w:afterLines="0" w:line="560" w:lineRule="exact"/>
        <w:ind w:firstLine="643" w:firstLineChars="200"/>
        <w:jc w:val="both"/>
        <w:textAlignment w:val="auto"/>
        <w:rPr>
          <w:rFonts w:ascii="黑体" w:hAnsi="黑体" w:eastAsia="黑体" w:cs="黑体"/>
          <w:b/>
          <w:sz w:val="32"/>
          <w:szCs w:val="32"/>
        </w:rPr>
      </w:pPr>
      <w:r>
        <w:rPr>
          <w:rFonts w:hint="eastAsia" w:ascii="仿宋" w:hAnsi="仿宋" w:eastAsia="仿宋" w:cs="仿宋"/>
          <w:b/>
          <w:sz w:val="32"/>
          <w:szCs w:val="32"/>
        </w:rPr>
        <w:t>第九条</w:t>
      </w:r>
      <w:r>
        <w:rPr>
          <w:rFonts w:hint="eastAsia" w:ascii="黑体" w:hAnsi="黑体" w:eastAsia="黑体" w:cs="黑体"/>
          <w:b/>
          <w:sz w:val="32"/>
          <w:szCs w:val="32"/>
        </w:rPr>
        <w:t xml:space="preserve"> </w:t>
      </w:r>
      <w:r>
        <w:rPr>
          <w:rFonts w:hint="eastAsia" w:ascii="仿宋" w:hAnsi="仿宋" w:eastAsia="仿宋" w:cs="仿宋"/>
          <w:snapToGrid/>
          <w:kern w:val="2"/>
          <w:sz w:val="32"/>
          <w:szCs w:val="32"/>
        </w:rPr>
        <w:t>组织领导</w:t>
      </w:r>
    </w:p>
    <w:p>
      <w:pPr>
        <w:kinsoku/>
        <w:autoSpaceDE/>
        <w:autoSpaceDN/>
        <w:adjustRightInd/>
        <w:snapToGrid/>
        <w:spacing w:before="0" w:beforeLines="0" w:after="0" w:afterLines="0" w:line="560" w:lineRule="exact"/>
        <w:ind w:firstLine="640" w:firstLineChars="200"/>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（一）研究生奖助评审工作组</w:t>
      </w:r>
    </w:p>
    <w:p>
      <w:pPr>
        <w:kinsoku/>
        <w:autoSpaceDE/>
        <w:autoSpaceDN/>
        <w:adjustRightInd/>
        <w:snapToGrid/>
        <w:spacing w:before="0" w:beforeLines="0" w:after="0" w:afterLines="0" w:line="560" w:lineRule="exact"/>
        <w:ind w:firstLine="640" w:firstLineChars="200"/>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由学院党政领导、学科点负责人、研究生教学秘书、研究生辅导员组成，负责商议决定每年评优评奖工作过程中出现的争议、每年学业奖学金评定的组织、审核、汇总以及综合考核办法的修订等工作。</w:t>
      </w:r>
    </w:p>
    <w:p>
      <w:pPr>
        <w:numPr>
          <w:ilvl w:val="0"/>
          <w:numId w:val="1"/>
        </w:numPr>
        <w:kinsoku/>
        <w:autoSpaceDE/>
        <w:autoSpaceDN/>
        <w:adjustRightInd/>
        <w:snapToGrid/>
        <w:spacing w:before="0" w:beforeLines="0" w:after="0" w:afterLines="0" w:line="560" w:lineRule="exact"/>
        <w:ind w:firstLine="640" w:firstLineChars="200"/>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研究生奖助评审小组</w:t>
      </w:r>
    </w:p>
    <w:p>
      <w:pPr>
        <w:kinsoku/>
        <w:autoSpaceDE/>
        <w:autoSpaceDN/>
        <w:adjustRightInd/>
        <w:snapToGrid/>
        <w:spacing w:before="0" w:beforeLines="0" w:after="0" w:afterLines="0" w:line="560" w:lineRule="exact"/>
        <w:ind w:firstLine="640" w:firstLineChars="200"/>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由研究生辅导员任组长，班团干部、院研会代表、党支部代表、各年级各专业学生群众代表组成，负责综合测评材料收集、审察、初评等具体工作。</w:t>
      </w:r>
      <w:bookmarkStart w:id="2" w:name="_GoBack"/>
      <w:bookmarkEnd w:id="2"/>
    </w:p>
    <w:p>
      <w:pPr>
        <w:kinsoku/>
        <w:autoSpaceDE/>
        <w:autoSpaceDN/>
        <w:adjustRightInd/>
        <w:snapToGrid/>
        <w:spacing w:before="0" w:beforeLines="0" w:after="0" w:afterLines="0"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第七章 附则</w:t>
      </w:r>
    </w:p>
    <w:p>
      <w:pPr>
        <w:kinsoku/>
        <w:autoSpaceDE/>
        <w:autoSpaceDN/>
        <w:adjustRightInd/>
        <w:snapToGrid/>
        <w:spacing w:before="0" w:beforeLines="0" w:after="0" w:afterLines="0" w:line="560" w:lineRule="exact"/>
        <w:ind w:firstLine="643" w:firstLineChars="200"/>
        <w:jc w:val="both"/>
        <w:textAlignment w:val="auto"/>
        <w:rPr>
          <w:rFonts w:ascii="仿宋" w:hAnsi="仿宋" w:eastAsia="仿宋" w:cs="仿宋"/>
          <w:snapToGrid/>
          <w:kern w:val="2"/>
          <w:sz w:val="32"/>
          <w:szCs w:val="32"/>
        </w:rPr>
      </w:pPr>
      <w:r>
        <w:rPr>
          <w:rFonts w:hint="eastAsia" w:ascii="仿宋" w:hAnsi="仿宋" w:eastAsia="仿宋" w:cs="仿宋"/>
          <w:b/>
          <w:sz w:val="32"/>
          <w:szCs w:val="32"/>
        </w:rPr>
        <w:t xml:space="preserve">第十条 </w:t>
      </w:r>
      <w:r>
        <w:rPr>
          <w:rFonts w:hint="eastAsia" w:ascii="仿宋" w:hAnsi="仿宋" w:eastAsia="仿宋" w:cs="仿宋"/>
          <w:snapToGrid/>
          <w:kern w:val="2"/>
          <w:sz w:val="32"/>
          <w:szCs w:val="32"/>
        </w:rPr>
        <w:t>本办法公示无异议后，在开展评优评奖工作中严格按照细则执行。</w:t>
      </w:r>
    </w:p>
    <w:p>
      <w:pPr>
        <w:kinsoku/>
        <w:autoSpaceDE/>
        <w:autoSpaceDN/>
        <w:adjustRightInd/>
        <w:snapToGrid/>
        <w:spacing w:before="0" w:beforeLines="0" w:after="0" w:afterLines="0" w:line="560" w:lineRule="exact"/>
        <w:ind w:firstLine="643" w:firstLineChars="200"/>
        <w:jc w:val="both"/>
        <w:textAlignment w:val="auto"/>
        <w:rPr>
          <w:rFonts w:ascii="仿宋" w:hAnsi="仿宋" w:eastAsia="仿宋" w:cs="仿宋"/>
          <w:snapToGrid/>
          <w:kern w:val="2"/>
          <w:sz w:val="32"/>
          <w:szCs w:val="32"/>
        </w:rPr>
      </w:pPr>
      <w:r>
        <w:rPr>
          <w:rFonts w:hint="eastAsia" w:ascii="仿宋" w:hAnsi="仿宋" w:eastAsia="仿宋" w:cs="仿宋"/>
          <w:b/>
          <w:sz w:val="32"/>
          <w:szCs w:val="32"/>
        </w:rPr>
        <w:t>第十一条</w:t>
      </w:r>
      <w:r>
        <w:rPr>
          <w:rFonts w:hint="eastAsia" w:ascii="仿宋" w:hAnsi="仿宋" w:eastAsia="仿宋" w:cs="仿宋"/>
          <w:b/>
          <w:sz w:val="32"/>
          <w:szCs w:val="32"/>
          <w:lang w:val="en-US" w:eastAsia="zh-CN"/>
        </w:rPr>
        <w:t xml:space="preserve"> </w:t>
      </w:r>
      <w:r>
        <w:rPr>
          <w:rFonts w:hint="eastAsia" w:ascii="仿宋" w:hAnsi="仿宋" w:eastAsia="仿宋" w:cs="仿宋"/>
          <w:snapToGrid/>
          <w:kern w:val="2"/>
          <w:sz w:val="32"/>
          <w:szCs w:val="32"/>
        </w:rPr>
        <w:t>研究生学业奖学金所有材料应为上一学年的9月1日起，至评定当年的8月31日止。</w:t>
      </w:r>
    </w:p>
    <w:p>
      <w:pPr>
        <w:kinsoku/>
        <w:autoSpaceDE/>
        <w:autoSpaceDN/>
        <w:adjustRightInd/>
        <w:snapToGrid/>
        <w:spacing w:before="0" w:beforeLines="0" w:after="0" w:afterLines="0" w:line="560" w:lineRule="exact"/>
        <w:ind w:firstLine="643" w:firstLineChars="200"/>
        <w:jc w:val="both"/>
        <w:textAlignment w:val="auto"/>
        <w:rPr>
          <w:rFonts w:ascii="仿宋" w:hAnsi="仿宋" w:eastAsia="仿宋" w:cs="仿宋"/>
          <w:color w:val="auto"/>
          <w:spacing w:val="-3"/>
          <w:sz w:val="32"/>
          <w:szCs w:val="32"/>
        </w:rPr>
      </w:pPr>
      <w:r>
        <w:rPr>
          <w:rFonts w:hint="eastAsia" w:ascii="仿宋" w:hAnsi="仿宋" w:eastAsia="仿宋" w:cs="仿宋"/>
          <w:b/>
          <w:sz w:val="32"/>
          <w:szCs w:val="32"/>
        </w:rPr>
        <w:t xml:space="preserve">第十二条 </w:t>
      </w:r>
      <w:r>
        <w:rPr>
          <w:rFonts w:hint="eastAsia" w:ascii="仿宋" w:hAnsi="仿宋" w:eastAsia="仿宋" w:cs="仿宋"/>
          <w:snapToGrid/>
          <w:kern w:val="2"/>
          <w:sz w:val="32"/>
          <w:szCs w:val="32"/>
        </w:rPr>
        <w:t>本办法的解释权归学院研究生评优评奖工作组所有。如有异议或上述未列入、但能反映研究生个人综合素质或水平的项目，学生可提出意见与建议（或提供相关证明材料）后，作为下次文件修订的参考。</w:t>
      </w:r>
    </w:p>
    <w:p>
      <w:pPr>
        <w:spacing w:before="107" w:line="218" w:lineRule="auto"/>
        <w:ind w:right="57"/>
        <w:jc w:val="right"/>
        <w:rPr>
          <w:rFonts w:ascii="仿宋" w:hAnsi="仿宋" w:eastAsia="仿宋" w:cs="仿宋"/>
          <w:color w:val="auto"/>
          <w:spacing w:val="-4"/>
          <w:sz w:val="24"/>
          <w:szCs w:val="24"/>
        </w:rPr>
      </w:pPr>
    </w:p>
    <w:p>
      <w:pPr>
        <w:widowControl/>
        <w:ind w:firstLine="464" w:firstLineChars="200"/>
        <w:jc w:val="right"/>
        <w:rPr>
          <w:rFonts w:ascii="仿宋" w:hAnsi="仿宋" w:eastAsia="仿宋" w:cs="仿宋"/>
          <w:color w:val="000000"/>
          <w:kern w:val="0"/>
          <w:sz w:val="31"/>
          <w:szCs w:val="31"/>
          <w:lang w:bidi="ar"/>
        </w:rPr>
      </w:pPr>
      <w:r>
        <w:rPr>
          <w:rFonts w:hint="eastAsia" w:ascii="仿宋" w:hAnsi="仿宋" w:eastAsia="仿宋" w:cs="仿宋"/>
          <w:color w:val="auto"/>
          <w:spacing w:val="-4"/>
          <w:sz w:val="24"/>
          <w:szCs w:val="24"/>
        </w:rPr>
        <w:t xml:space="preserve">                                         </w:t>
      </w:r>
      <w:r>
        <w:rPr>
          <w:rFonts w:hint="eastAsia" w:ascii="仿宋" w:hAnsi="仿宋" w:eastAsia="仿宋" w:cs="仿宋"/>
          <w:color w:val="000000"/>
          <w:kern w:val="0"/>
          <w:sz w:val="31"/>
          <w:szCs w:val="31"/>
          <w:lang w:bidi="ar"/>
        </w:rPr>
        <w:t>西南大学园艺园林学院</w:t>
      </w:r>
    </w:p>
    <w:p>
      <w:pPr>
        <w:widowControl/>
        <w:ind w:firstLine="620" w:firstLineChars="200"/>
        <w:jc w:val="righ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二〇二三年四月二十三日</w:t>
      </w:r>
    </w:p>
    <w:p>
      <w:pPr>
        <w:spacing w:before="124" w:line="360" w:lineRule="auto"/>
        <w:ind w:right="88" w:firstLine="4800" w:firstLineChars="1500"/>
        <w:rPr>
          <w:rFonts w:ascii="仿宋" w:hAnsi="仿宋" w:eastAsia="仿宋" w:cs="仿宋"/>
          <w:snapToGrid/>
          <w:kern w:val="2"/>
          <w:sz w:val="32"/>
          <w:szCs w:val="32"/>
        </w:rPr>
      </w:pPr>
    </w:p>
    <w:p>
      <w:pPr>
        <w:spacing w:before="107" w:line="218" w:lineRule="auto"/>
        <w:ind w:right="57"/>
        <w:jc w:val="right"/>
        <w:rPr>
          <w:rFonts w:ascii="仿宋" w:hAnsi="仿宋" w:eastAsia="仿宋" w:cs="仿宋"/>
          <w:color w:val="auto"/>
          <w:spacing w:val="-4"/>
          <w:sz w:val="24"/>
          <w:szCs w:val="24"/>
        </w:rPr>
      </w:pPr>
    </w:p>
    <w:sectPr>
      <w:footerReference r:id="rId3" w:type="default"/>
      <w:pgSz w:w="11907" w:h="16839"/>
      <w:pgMar w:top="1431" w:right="1736" w:bottom="1790" w:left="1785" w:header="0" w:footer="15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4718E"/>
    <w:multiLevelType w:val="singleLevel"/>
    <w:tmpl w:val="6F1471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NotTrackFormatting/>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ZmU3MGZkNjY0OWM2NTlkYTU3OWNkYjIwNzAzOGY2ZmYifQ=="/>
  </w:docVars>
  <w:rsids>
    <w:rsidRoot w:val="00FB7746"/>
    <w:rsid w:val="000B127D"/>
    <w:rsid w:val="00121DAC"/>
    <w:rsid w:val="00290E72"/>
    <w:rsid w:val="002E5DE6"/>
    <w:rsid w:val="0030321F"/>
    <w:rsid w:val="00307009"/>
    <w:rsid w:val="00363626"/>
    <w:rsid w:val="003E6959"/>
    <w:rsid w:val="004D467F"/>
    <w:rsid w:val="005F29B2"/>
    <w:rsid w:val="0064075D"/>
    <w:rsid w:val="006D0134"/>
    <w:rsid w:val="00740900"/>
    <w:rsid w:val="00763C22"/>
    <w:rsid w:val="008C709D"/>
    <w:rsid w:val="008F6411"/>
    <w:rsid w:val="00924B33"/>
    <w:rsid w:val="00951831"/>
    <w:rsid w:val="00A177D0"/>
    <w:rsid w:val="00AE5B26"/>
    <w:rsid w:val="00C72CB5"/>
    <w:rsid w:val="00CA4851"/>
    <w:rsid w:val="00D60DD4"/>
    <w:rsid w:val="00E00156"/>
    <w:rsid w:val="00EA43A9"/>
    <w:rsid w:val="00EE18F4"/>
    <w:rsid w:val="00F6487B"/>
    <w:rsid w:val="00FB7746"/>
    <w:rsid w:val="016E2F6B"/>
    <w:rsid w:val="056C596B"/>
    <w:rsid w:val="073D6B9B"/>
    <w:rsid w:val="08544193"/>
    <w:rsid w:val="0A22117E"/>
    <w:rsid w:val="0AE23674"/>
    <w:rsid w:val="0AF528F8"/>
    <w:rsid w:val="0BAA78BF"/>
    <w:rsid w:val="0BC33EB3"/>
    <w:rsid w:val="12CA5B28"/>
    <w:rsid w:val="17214184"/>
    <w:rsid w:val="19766F4D"/>
    <w:rsid w:val="1A7D5B75"/>
    <w:rsid w:val="20476A09"/>
    <w:rsid w:val="22B45EAC"/>
    <w:rsid w:val="2A6C2F43"/>
    <w:rsid w:val="2B9845BD"/>
    <w:rsid w:val="2E13617D"/>
    <w:rsid w:val="2EF35FAE"/>
    <w:rsid w:val="2FC736C3"/>
    <w:rsid w:val="30316D8E"/>
    <w:rsid w:val="31CF2D03"/>
    <w:rsid w:val="321B5F48"/>
    <w:rsid w:val="36E21E52"/>
    <w:rsid w:val="3CE26831"/>
    <w:rsid w:val="3CFA5349"/>
    <w:rsid w:val="3D6267D9"/>
    <w:rsid w:val="3DEB4AAE"/>
    <w:rsid w:val="3F132537"/>
    <w:rsid w:val="42522650"/>
    <w:rsid w:val="481132D5"/>
    <w:rsid w:val="4A464BC3"/>
    <w:rsid w:val="521E6D07"/>
    <w:rsid w:val="532B65A8"/>
    <w:rsid w:val="5C270564"/>
    <w:rsid w:val="5E7128C8"/>
    <w:rsid w:val="60D12F27"/>
    <w:rsid w:val="685B3B92"/>
    <w:rsid w:val="6D7B2E1B"/>
    <w:rsid w:val="70A5167A"/>
    <w:rsid w:val="72B312A9"/>
    <w:rsid w:val="73E3796C"/>
    <w:rsid w:val="741713C4"/>
    <w:rsid w:val="745B178E"/>
    <w:rsid w:val="7BD83B2F"/>
    <w:rsid w:val="7BFF2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99"/>
    <w:pPr>
      <w:ind w:firstLine="420" w:firstLineChars="200"/>
    </w:pPr>
  </w:style>
  <w:style w:type="paragraph" w:customStyle="1" w:styleId="8">
    <w:name w:val="Revision"/>
    <w:hidden/>
    <w:semiHidden/>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2471</Words>
  <Characters>2517</Characters>
  <Lines>19</Lines>
  <Paragraphs>5</Paragraphs>
  <TotalTime>2</TotalTime>
  <ScaleCrop>false</ScaleCrop>
  <LinksUpToDate>false</LinksUpToDate>
  <CharactersWithSpaces>2635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2021-09-22T15:29:00Z</dcterms:created>
  <dc:creator>zhang t</dc:creator>
  <cp:lastModifiedBy>Lenovo</cp:lastModifiedBy>
  <dcterms:modified xsi:type="dcterms:W3CDTF">2023-05-08T03:30:55Z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2022-09-30T17:07:52Z</vt:filetime>
  </property>
  <property fmtid="{D5CDD505-2E9C-101B-9397-08002B2CF9AE}" pid="4" name="KSOProductBuildVer">
    <vt:lpwstr>2052-11.1.0.14309</vt:lpwstr>
  </property>
  <property fmtid="{D5CDD505-2E9C-101B-9397-08002B2CF9AE}" pid="5" name="ICV">
    <vt:lpwstr>C7AFB2B8E4174D96BA8B73CD3BBD5CF9_13</vt:lpwstr>
  </property>
</Properties>
</file>