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jc w:val="center"/>
        <w:textAlignment w:val="auto"/>
        <w:rPr>
          <w:rFonts w:hint="eastAsia" w:ascii="黑体" w:hAnsi="黑体" w:eastAsia="黑体" w:cs="黑体"/>
          <w:b/>
          <w:snapToGrid/>
          <w:kern w:val="2"/>
          <w:sz w:val="44"/>
          <w:szCs w:val="44"/>
        </w:rPr>
      </w:pPr>
      <w:r>
        <w:rPr>
          <w:rFonts w:hint="eastAsia" w:ascii="黑体" w:hAnsi="黑体" w:eastAsia="黑体" w:cs="黑体"/>
          <w:b/>
          <w:snapToGrid/>
          <w:kern w:val="2"/>
          <w:sz w:val="44"/>
          <w:szCs w:val="44"/>
        </w:rPr>
        <w:t>西南大学园艺园林学院</w:t>
      </w:r>
    </w:p>
    <w:p>
      <w:pPr>
        <w:widowControl w:val="0"/>
        <w:kinsoku/>
        <w:autoSpaceDE/>
        <w:autoSpaceDN/>
        <w:adjustRightInd/>
        <w:snapToGrid/>
        <w:jc w:val="center"/>
        <w:textAlignment w:val="auto"/>
        <w:rPr>
          <w:rFonts w:hint="eastAsia" w:ascii="黑体" w:hAnsi="黑体" w:eastAsia="黑体" w:cs="黑体"/>
          <w:b/>
          <w:snapToGrid/>
          <w:kern w:val="2"/>
          <w:sz w:val="44"/>
          <w:szCs w:val="44"/>
          <w:lang w:eastAsia="zh-CN"/>
        </w:rPr>
      </w:pPr>
      <w:r>
        <w:rPr>
          <w:rFonts w:hint="eastAsia" w:ascii="黑体" w:hAnsi="黑体" w:eastAsia="黑体" w:cs="黑体"/>
          <w:b/>
          <w:snapToGrid/>
          <w:kern w:val="2"/>
          <w:sz w:val="44"/>
          <w:szCs w:val="44"/>
        </w:rPr>
        <w:t>优秀研究生奖学金评审实施</w:t>
      </w:r>
      <w:r>
        <w:rPr>
          <w:rFonts w:hint="eastAsia" w:ascii="黑体" w:hAnsi="黑体" w:eastAsia="黑体" w:cs="黑体"/>
          <w:b/>
          <w:snapToGrid/>
          <w:kern w:val="2"/>
          <w:sz w:val="44"/>
          <w:szCs w:val="44"/>
          <w:lang w:val="en-US" w:eastAsia="zh-CN"/>
        </w:rPr>
        <w:t>办法</w:t>
      </w:r>
    </w:p>
    <w:p>
      <w:pPr>
        <w:widowControl w:val="0"/>
        <w:kinsoku/>
        <w:autoSpaceDE/>
        <w:autoSpaceDN/>
        <w:adjustRightInd/>
        <w:snapToGrid/>
        <w:jc w:val="center"/>
        <w:textAlignment w:val="auto"/>
        <w:rPr>
          <w:rFonts w:hint="eastAsia" w:ascii="黑体" w:hAnsi="黑体" w:eastAsia="黑体" w:cs="黑体"/>
          <w:b/>
          <w:snapToGrid/>
          <w:kern w:val="2"/>
          <w:sz w:val="44"/>
          <w:szCs w:val="4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sz w:val="36"/>
          <w:szCs w:val="36"/>
        </w:rPr>
      </w:pPr>
      <w:r>
        <w:rPr>
          <w:rFonts w:hint="eastAsia" w:ascii="黑体" w:hAnsi="黑体" w:eastAsia="黑体" w:cs="黑体"/>
          <w:b/>
          <w:sz w:val="36"/>
          <w:szCs w:val="36"/>
        </w:rPr>
        <w:t>第一章 总 则</w:t>
      </w:r>
    </w:p>
    <w:p>
      <w:pPr>
        <w:spacing w:line="360" w:lineRule="auto"/>
      </w:pPr>
    </w:p>
    <w:p>
      <w:pPr>
        <w:spacing w:before="78" w:line="360" w:lineRule="auto"/>
        <w:ind w:right="83" w:firstLine="643" w:firstLineChars="200"/>
        <w:jc w:val="both"/>
        <w:rPr>
          <w:rFonts w:ascii="仿宋" w:hAnsi="仿宋" w:eastAsia="仿宋" w:cs="仿宋"/>
          <w:snapToGrid/>
          <w:kern w:val="2"/>
          <w:sz w:val="32"/>
          <w:szCs w:val="32"/>
        </w:rPr>
      </w:pPr>
      <w:r>
        <w:rPr>
          <w:rFonts w:hint="eastAsia" w:ascii="仿宋" w:hAnsi="仿宋" w:eastAsia="仿宋" w:cs="仿宋"/>
          <w:b/>
          <w:bCs/>
          <w:snapToGrid/>
          <w:kern w:val="2"/>
          <w:sz w:val="32"/>
          <w:szCs w:val="32"/>
        </w:rPr>
        <w:t>第一条</w:t>
      </w:r>
      <w:r>
        <w:rPr>
          <w:rFonts w:hint="eastAsia" w:ascii="仿宋" w:hAnsi="仿宋" w:eastAsia="仿宋" w:cs="仿宋"/>
          <w:snapToGrid/>
          <w:kern w:val="2"/>
          <w:sz w:val="32"/>
          <w:szCs w:val="32"/>
        </w:rPr>
        <w:t xml:space="preserve"> 为进一步提高研究生培养质量，鼓励广大研究生勤奋学习、刻苦专研、勇于创</w:t>
      </w:r>
      <w:bookmarkStart w:id="2" w:name="_GoBack"/>
      <w:bookmarkEnd w:id="2"/>
      <w:r>
        <w:rPr>
          <w:rFonts w:hint="eastAsia" w:ascii="仿宋" w:hAnsi="仿宋" w:eastAsia="仿宋" w:cs="仿宋"/>
          <w:snapToGrid/>
          <w:kern w:val="2"/>
          <w:sz w:val="32"/>
          <w:szCs w:val="32"/>
        </w:rPr>
        <w:t>新、积极实践，学校设立优秀研究生奖学金，表彰奖励在科研、实践、服务、创新创业等方面表现优秀、成绩突出，为学校赢得各种荣誉或做出特殊贡献的全日制研究生。根据《西南大学研究生奖助体系设置及管理办法》(西校〔2020〕339 号)，结合学院实际，制定本办法。</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第二章 参评对象及奖励标准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3" w:firstLineChars="200"/>
        <w:jc w:val="both"/>
        <w:textAlignment w:val="baseline"/>
        <w:rPr>
          <w:rFonts w:hint="eastAsia" w:ascii="仿宋" w:hAnsi="仿宋" w:eastAsia="仿宋" w:cs="仿宋"/>
          <w:snapToGrid/>
          <w:kern w:val="2"/>
          <w:sz w:val="32"/>
          <w:szCs w:val="32"/>
        </w:rPr>
      </w:pPr>
      <w:r>
        <w:rPr>
          <w:rFonts w:hint="eastAsia" w:ascii="仿宋" w:hAnsi="仿宋" w:eastAsia="仿宋" w:cs="仿宋"/>
          <w:b/>
          <w:sz w:val="32"/>
          <w:szCs w:val="32"/>
        </w:rPr>
        <w:t>第二条</w:t>
      </w:r>
      <w:r>
        <w:rPr>
          <w:rFonts w:hint="eastAsia" w:ascii="仿宋" w:hAnsi="仿宋" w:eastAsia="仿宋" w:cs="仿宋"/>
          <w:snapToGrid/>
          <w:kern w:val="2"/>
          <w:sz w:val="32"/>
          <w:szCs w:val="32"/>
        </w:rPr>
        <w:t xml:space="preserve"> 参评对象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0" w:firstLineChars="200"/>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在学校就读、具有中华人民共和国国籍，纳入全国研究生招生计划，基本学制年限内全日制非在职研究生。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0" w:firstLineChars="200"/>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一年级研究生第一学年原则上不参评优秀研究生奖学金。直博生、硕博连读学生在注册为更高学籍的第一学年可以参评优秀研究生奖学金。</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right="85" w:firstLine="640" w:firstLineChars="200"/>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优秀研究生奖学金奖励等级、比例和奖励标准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5" w:rightChars="0"/>
        <w:jc w:val="center"/>
        <w:textAlignment w:val="baseline"/>
        <w:rPr>
          <w:rFonts w:hint="eastAsia" w:ascii="仿宋" w:hAnsi="仿宋" w:eastAsia="仿宋" w:cs="仿宋"/>
          <w:snapToGrid/>
          <w:kern w:val="2"/>
          <w:sz w:val="32"/>
          <w:szCs w:val="32"/>
        </w:rPr>
      </w:pPr>
      <w:r>
        <w:rPr>
          <w:rFonts w:hint="eastAsia" w:ascii="宋体" w:hAnsi="宋体" w:eastAsia="宋体" w:cs="宋体"/>
          <w:b/>
          <w:bCs/>
          <w:color w:val="000000"/>
          <w:kern w:val="0"/>
          <w:szCs w:val="21"/>
          <w:lang w:bidi="ar"/>
        </w:rPr>
        <w:t>表</w:t>
      </w:r>
      <w:r>
        <w:rPr>
          <w:rFonts w:hint="eastAsia" w:ascii="宋体" w:hAnsi="宋体" w:eastAsia="宋体" w:cs="宋体"/>
          <w:b/>
          <w:bCs/>
          <w:color w:val="000000"/>
          <w:kern w:val="0"/>
          <w:szCs w:val="21"/>
          <w:lang w:val="en-US" w:eastAsia="zh-CN" w:bidi="ar"/>
        </w:rPr>
        <w:t>1</w:t>
      </w:r>
      <w:r>
        <w:rPr>
          <w:rFonts w:hint="eastAsia" w:ascii="宋体" w:hAnsi="宋体" w:eastAsia="宋体" w:cs="宋体"/>
          <w:b/>
          <w:bCs/>
          <w:color w:val="000000"/>
          <w:kern w:val="0"/>
          <w:szCs w:val="21"/>
          <w:lang w:bidi="ar"/>
        </w:rPr>
        <w:t>：优秀研究生奖学金奖励等级、比例和奖励标准</w:t>
      </w:r>
    </w:p>
    <w:tbl>
      <w:tblPr>
        <w:tblStyle w:val="6"/>
        <w:tblpPr w:leftFromText="180" w:rightFromText="180" w:vertAnchor="text" w:horzAnchor="page" w:tblpX="2143" w:tblpY="90"/>
        <w:tblOverlap w:val="never"/>
        <w:tblW w:w="788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4"/>
        <w:gridCol w:w="2084"/>
        <w:gridCol w:w="4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1674" w:type="dxa"/>
            <w:tcBorders>
              <w:top w:val="single" w:color="000000" w:sz="2" w:space="0"/>
              <w:bottom w:val="single" w:color="000000" w:sz="2" w:space="0"/>
            </w:tcBorders>
            <w:vAlign w:val="center"/>
          </w:tcPr>
          <w:p>
            <w:pPr>
              <w:spacing w:before="43" w:line="360" w:lineRule="auto"/>
              <w:jc w:val="center"/>
              <w:rPr>
                <w:rFonts w:hint="eastAsia" w:ascii="宋体" w:hAnsi="宋体" w:eastAsia="宋体" w:cs="宋体"/>
                <w:b/>
                <w:bCs/>
                <w:sz w:val="24"/>
                <w:szCs w:val="24"/>
              </w:rPr>
            </w:pPr>
            <w:r>
              <w:rPr>
                <w:rFonts w:hint="eastAsia" w:ascii="宋体" w:hAnsi="宋体" w:eastAsia="宋体" w:cs="宋体"/>
                <w:b/>
                <w:bCs/>
                <w:spacing w:val="-6"/>
                <w:sz w:val="24"/>
                <w:szCs w:val="24"/>
              </w:rPr>
              <w:t>等级</w:t>
            </w:r>
          </w:p>
        </w:tc>
        <w:tc>
          <w:tcPr>
            <w:tcW w:w="2084" w:type="dxa"/>
            <w:tcBorders>
              <w:top w:val="single" w:color="000000" w:sz="2" w:space="0"/>
              <w:bottom w:val="single" w:color="000000" w:sz="2" w:space="0"/>
            </w:tcBorders>
            <w:vAlign w:val="center"/>
          </w:tcPr>
          <w:p>
            <w:pPr>
              <w:spacing w:before="43" w:line="360" w:lineRule="auto"/>
              <w:ind w:left="836"/>
              <w:rPr>
                <w:rFonts w:hint="eastAsia" w:ascii="宋体" w:hAnsi="宋体" w:eastAsia="宋体" w:cs="宋体"/>
                <w:b/>
                <w:bCs/>
                <w:sz w:val="24"/>
                <w:szCs w:val="24"/>
              </w:rPr>
            </w:pPr>
            <w:r>
              <w:rPr>
                <w:rFonts w:hint="eastAsia" w:ascii="宋体" w:hAnsi="宋体" w:eastAsia="宋体" w:cs="宋体"/>
                <w:b/>
                <w:bCs/>
                <w:spacing w:val="-12"/>
                <w:sz w:val="24"/>
                <w:szCs w:val="24"/>
              </w:rPr>
              <w:t>比</w:t>
            </w:r>
            <w:r>
              <w:rPr>
                <w:rFonts w:hint="eastAsia" w:ascii="宋体" w:hAnsi="宋体" w:eastAsia="宋体" w:cs="宋体"/>
                <w:b/>
                <w:bCs/>
                <w:spacing w:val="-10"/>
                <w:sz w:val="24"/>
                <w:szCs w:val="24"/>
              </w:rPr>
              <w:t>例</w:t>
            </w:r>
          </w:p>
        </w:tc>
        <w:tc>
          <w:tcPr>
            <w:tcW w:w="4130" w:type="dxa"/>
            <w:tcBorders>
              <w:top w:val="single" w:color="000000" w:sz="2" w:space="0"/>
              <w:bottom w:val="single" w:color="000000" w:sz="2" w:space="0"/>
            </w:tcBorders>
            <w:vAlign w:val="center"/>
          </w:tcPr>
          <w:p>
            <w:pPr>
              <w:spacing w:before="43" w:line="360" w:lineRule="auto"/>
              <w:ind w:left="832"/>
              <w:rPr>
                <w:rFonts w:hint="eastAsia" w:ascii="宋体" w:hAnsi="宋体" w:eastAsia="宋体" w:cs="宋体"/>
                <w:b/>
                <w:bCs/>
                <w:sz w:val="24"/>
                <w:szCs w:val="24"/>
              </w:rPr>
            </w:pPr>
            <w:r>
              <w:rPr>
                <w:rFonts w:hint="eastAsia" w:ascii="宋体" w:hAnsi="宋体" w:eastAsia="宋体" w:cs="宋体"/>
                <w:b/>
                <w:bCs/>
                <w:spacing w:val="-11"/>
                <w:sz w:val="24"/>
                <w:szCs w:val="24"/>
              </w:rPr>
              <w:t>奖励标准(元/年/人</w:t>
            </w:r>
            <w:r>
              <w:rPr>
                <w:rFonts w:hint="eastAsia" w:ascii="宋体" w:hAnsi="宋体" w:eastAsia="宋体" w:cs="宋体"/>
                <w:b/>
                <w:bCs/>
                <w:spacing w:val="-10"/>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674" w:type="dxa"/>
            <w:tcBorders>
              <w:top w:val="single" w:color="000000" w:sz="2" w:space="0"/>
              <w:bottom w:val="single" w:color="000000" w:sz="2" w:space="0"/>
            </w:tcBorders>
            <w:vAlign w:val="center"/>
          </w:tcPr>
          <w:p>
            <w:pPr>
              <w:spacing w:before="37" w:line="360" w:lineRule="auto"/>
              <w:jc w:val="center"/>
              <w:rPr>
                <w:rFonts w:ascii="仿宋" w:hAnsi="仿宋" w:eastAsia="仿宋" w:cs="仿宋"/>
                <w:sz w:val="24"/>
                <w:szCs w:val="24"/>
              </w:rPr>
            </w:pPr>
            <w:r>
              <w:rPr>
                <w:rFonts w:ascii="仿宋" w:hAnsi="仿宋" w:eastAsia="仿宋" w:cs="仿宋"/>
                <w:spacing w:val="-6"/>
                <w:sz w:val="24"/>
                <w:szCs w:val="24"/>
              </w:rPr>
              <w:t>一</w:t>
            </w:r>
            <w:r>
              <w:rPr>
                <w:rFonts w:ascii="仿宋" w:hAnsi="仿宋" w:eastAsia="仿宋" w:cs="仿宋"/>
                <w:spacing w:val="-4"/>
                <w:sz w:val="24"/>
                <w:szCs w:val="24"/>
              </w:rPr>
              <w:t>等</w:t>
            </w:r>
          </w:p>
        </w:tc>
        <w:tc>
          <w:tcPr>
            <w:tcW w:w="2084" w:type="dxa"/>
            <w:tcBorders>
              <w:top w:val="single" w:color="000000" w:sz="2" w:space="0"/>
              <w:bottom w:val="single" w:color="000000" w:sz="2" w:space="0"/>
            </w:tcBorders>
            <w:vAlign w:val="center"/>
          </w:tcPr>
          <w:p>
            <w:pPr>
              <w:spacing w:before="82" w:line="360" w:lineRule="auto"/>
              <w:ind w:left="926"/>
              <w:rPr>
                <w:rFonts w:ascii="仿宋" w:hAnsi="仿宋" w:eastAsia="仿宋" w:cs="仿宋"/>
                <w:sz w:val="24"/>
                <w:szCs w:val="24"/>
              </w:rPr>
            </w:pPr>
            <w:r>
              <w:rPr>
                <w:rFonts w:ascii="仿宋" w:hAnsi="仿宋" w:eastAsia="仿宋" w:cs="仿宋"/>
                <w:spacing w:val="-4"/>
                <w:sz w:val="24"/>
                <w:szCs w:val="24"/>
              </w:rPr>
              <w:t>5</w:t>
            </w:r>
            <w:r>
              <w:rPr>
                <w:rFonts w:ascii="仿宋" w:hAnsi="仿宋" w:eastAsia="仿宋" w:cs="仿宋"/>
                <w:spacing w:val="-3"/>
                <w:sz w:val="24"/>
                <w:szCs w:val="24"/>
              </w:rPr>
              <w:t>%</w:t>
            </w:r>
          </w:p>
        </w:tc>
        <w:tc>
          <w:tcPr>
            <w:tcW w:w="4130" w:type="dxa"/>
            <w:tcBorders>
              <w:top w:val="single" w:color="000000" w:sz="2" w:space="0"/>
              <w:bottom w:val="single" w:color="000000" w:sz="2" w:space="0"/>
            </w:tcBorders>
            <w:vAlign w:val="center"/>
          </w:tcPr>
          <w:p>
            <w:pPr>
              <w:spacing w:before="82" w:line="360" w:lineRule="auto"/>
              <w:ind w:left="1840"/>
              <w:rPr>
                <w:rFonts w:ascii="仿宋" w:hAnsi="仿宋" w:eastAsia="仿宋" w:cs="仿宋"/>
                <w:sz w:val="24"/>
                <w:szCs w:val="24"/>
              </w:rPr>
            </w:pPr>
            <w:r>
              <w:rPr>
                <w:rFonts w:ascii="仿宋" w:hAnsi="仿宋" w:eastAsia="仿宋" w:cs="仿宋"/>
                <w:spacing w:val="-2"/>
                <w:sz w:val="24"/>
                <w:szCs w:val="24"/>
              </w:rPr>
              <w:t>40</w:t>
            </w:r>
            <w:r>
              <w:rPr>
                <w:rFonts w:ascii="仿宋" w:hAnsi="仿宋" w:eastAsia="仿宋" w:cs="仿宋"/>
                <w:spacing w:val="-1"/>
                <w:sz w:val="24"/>
                <w:szCs w:val="24"/>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674" w:type="dxa"/>
            <w:tcBorders>
              <w:top w:val="single" w:color="000000" w:sz="2" w:space="0"/>
              <w:bottom w:val="single" w:color="000000" w:sz="2" w:space="0"/>
            </w:tcBorders>
            <w:vAlign w:val="center"/>
          </w:tcPr>
          <w:p>
            <w:pPr>
              <w:spacing w:before="39" w:line="360" w:lineRule="auto"/>
              <w:jc w:val="center"/>
              <w:rPr>
                <w:rFonts w:ascii="仿宋" w:hAnsi="仿宋" w:eastAsia="仿宋" w:cs="仿宋"/>
                <w:sz w:val="24"/>
                <w:szCs w:val="24"/>
              </w:rPr>
            </w:pPr>
            <w:r>
              <w:rPr>
                <w:rFonts w:ascii="仿宋" w:hAnsi="仿宋" w:eastAsia="仿宋" w:cs="仿宋"/>
                <w:spacing w:val="-7"/>
                <w:sz w:val="24"/>
                <w:szCs w:val="24"/>
              </w:rPr>
              <w:t>二</w:t>
            </w:r>
            <w:r>
              <w:rPr>
                <w:rFonts w:ascii="仿宋" w:hAnsi="仿宋" w:eastAsia="仿宋" w:cs="仿宋"/>
                <w:spacing w:val="-5"/>
                <w:sz w:val="24"/>
                <w:szCs w:val="24"/>
              </w:rPr>
              <w:t>等</w:t>
            </w:r>
          </w:p>
        </w:tc>
        <w:tc>
          <w:tcPr>
            <w:tcW w:w="2084" w:type="dxa"/>
            <w:tcBorders>
              <w:top w:val="single" w:color="000000" w:sz="2" w:space="0"/>
              <w:bottom w:val="single" w:color="000000" w:sz="2" w:space="0"/>
            </w:tcBorders>
            <w:vAlign w:val="center"/>
          </w:tcPr>
          <w:p>
            <w:pPr>
              <w:spacing w:before="82" w:line="360" w:lineRule="auto"/>
              <w:ind w:left="879"/>
              <w:rPr>
                <w:rFonts w:ascii="仿宋" w:hAnsi="仿宋" w:eastAsia="仿宋" w:cs="仿宋"/>
                <w:sz w:val="24"/>
                <w:szCs w:val="24"/>
              </w:rPr>
            </w:pPr>
            <w:r>
              <w:rPr>
                <w:rFonts w:ascii="仿宋" w:hAnsi="仿宋" w:eastAsia="仿宋" w:cs="仿宋"/>
                <w:spacing w:val="-6"/>
                <w:sz w:val="24"/>
                <w:szCs w:val="24"/>
              </w:rPr>
              <w:t>15%</w:t>
            </w:r>
          </w:p>
        </w:tc>
        <w:tc>
          <w:tcPr>
            <w:tcW w:w="4130" w:type="dxa"/>
            <w:tcBorders>
              <w:top w:val="single" w:color="000000" w:sz="2" w:space="0"/>
              <w:bottom w:val="single" w:color="000000" w:sz="2" w:space="0"/>
            </w:tcBorders>
            <w:vAlign w:val="center"/>
          </w:tcPr>
          <w:p>
            <w:pPr>
              <w:spacing w:before="84" w:line="360" w:lineRule="auto"/>
              <w:ind w:left="1843"/>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2"/>
                <w:sz w:val="24"/>
                <w:szCs w:val="24"/>
              </w:rPr>
              <w:t>000</w:t>
            </w:r>
          </w:p>
        </w:tc>
      </w:tr>
    </w:tbl>
    <w:p>
      <w:pPr>
        <w:spacing w:line="360" w:lineRule="auto"/>
      </w:pPr>
    </w:p>
    <w:p>
      <w:pPr>
        <w:keepNext w:val="0"/>
        <w:keepLines w:val="0"/>
        <w:pageBreakBefore w:val="0"/>
        <w:widowControl/>
        <w:kinsoku w:val="0"/>
        <w:wordWrap/>
        <w:overflowPunct/>
        <w:topLinePunct w:val="0"/>
        <w:autoSpaceDE w:val="0"/>
        <w:autoSpaceDN w:val="0"/>
        <w:bidi w:val="0"/>
        <w:adjustRightInd w:val="0"/>
        <w:snapToGrid w:val="0"/>
        <w:spacing w:line="560" w:lineRule="atLeast"/>
        <w:ind w:left="40" w:right="91" w:firstLine="465"/>
        <w:textAlignment w:val="baseline"/>
        <w:rPr>
          <w:rFonts w:ascii="仿宋" w:hAnsi="仿宋" w:eastAsia="仿宋" w:cs="仿宋"/>
          <w:snapToGrid/>
          <w:kern w:val="2"/>
          <w:sz w:val="32"/>
          <w:szCs w:val="32"/>
        </w:rPr>
      </w:pPr>
      <w:r>
        <w:rPr>
          <w:rFonts w:hint="eastAsia" w:ascii="仿宋" w:hAnsi="仿宋" w:eastAsia="仿宋" w:cs="仿宋"/>
          <w:snapToGrid/>
          <w:kern w:val="2"/>
          <w:sz w:val="32"/>
          <w:szCs w:val="32"/>
        </w:rPr>
        <w:t>优秀</w:t>
      </w:r>
      <w:r>
        <w:rPr>
          <w:rFonts w:hint="eastAsia" w:ascii="仿宋" w:hAnsi="仿宋" w:eastAsia="仿宋" w:cs="仿宋"/>
          <w:snapToGrid/>
          <w:kern w:val="2"/>
          <w:sz w:val="32"/>
          <w:szCs w:val="32"/>
          <w:lang w:val="en-US" w:eastAsia="zh-CN"/>
        </w:rPr>
        <w:t>研究生</w:t>
      </w:r>
      <w:r>
        <w:rPr>
          <w:rFonts w:hint="eastAsia" w:ascii="仿宋" w:hAnsi="仿宋" w:eastAsia="仿宋" w:cs="仿宋"/>
          <w:snapToGrid/>
          <w:kern w:val="2"/>
          <w:sz w:val="32"/>
          <w:szCs w:val="32"/>
        </w:rPr>
        <w:t>奖学金按比例分为一、二等，名额分配按园艺类（包括蔬菜学、果树学、农艺与种业、观赏园艺学）</w:t>
      </w:r>
      <w:r>
        <w:rPr>
          <w:rFonts w:hint="eastAsia" w:ascii="仿宋" w:hAnsi="仿宋" w:eastAsia="仿宋" w:cs="仿宋"/>
          <w:snapToGrid/>
          <w:kern w:val="2"/>
          <w:sz w:val="32"/>
          <w:szCs w:val="32"/>
          <w:lang w:eastAsia="zh-CN"/>
        </w:rPr>
        <w:t>；</w:t>
      </w:r>
      <w:r>
        <w:rPr>
          <w:rFonts w:hint="eastAsia" w:ascii="仿宋" w:hAnsi="仿宋" w:eastAsia="仿宋" w:cs="仿宋"/>
          <w:snapToGrid/>
          <w:kern w:val="2"/>
          <w:sz w:val="32"/>
          <w:szCs w:val="32"/>
        </w:rPr>
        <w:t>理学类（植物学、细胞生物学）；风景园林类（风景园林学、风景园林）三大类进行。</w:t>
      </w:r>
    </w:p>
    <w:p>
      <w:pPr>
        <w:keepNext w:val="0"/>
        <w:keepLines w:val="0"/>
        <w:pageBreakBefore w:val="0"/>
        <w:widowControl/>
        <w:kinsoku w:val="0"/>
        <w:wordWrap/>
        <w:overflowPunct/>
        <w:topLinePunct w:val="0"/>
        <w:autoSpaceDE w:val="0"/>
        <w:autoSpaceDN w:val="0"/>
        <w:bidi w:val="0"/>
        <w:adjustRightInd w:val="0"/>
        <w:snapToGrid w:val="0"/>
        <w:spacing w:line="560" w:lineRule="atLeast"/>
        <w:ind w:left="40" w:right="91" w:firstLine="465"/>
        <w:textAlignment w:val="baseline"/>
        <w:rPr>
          <w:rFonts w:ascii="仿宋" w:hAnsi="仿宋" w:eastAsia="仿宋" w:cs="仿宋"/>
          <w:snapToGrid/>
          <w:kern w:val="2"/>
          <w:sz w:val="32"/>
          <w:szCs w:val="32"/>
        </w:rPr>
      </w:pPr>
      <w:r>
        <w:rPr>
          <w:rFonts w:hint="eastAsia" w:ascii="仿宋" w:hAnsi="仿宋" w:eastAsia="仿宋" w:cs="仿宋"/>
          <w:snapToGrid/>
          <w:kern w:val="2"/>
          <w:sz w:val="32"/>
          <w:szCs w:val="32"/>
        </w:rPr>
        <w:t>具体按“大类人数*等级比例”的结果四舍五入分配一、二等名额。</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第三章 基本参评条件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b/>
          <w:sz w:val="32"/>
          <w:szCs w:val="32"/>
        </w:rPr>
        <w:t>第四条</w:t>
      </w:r>
      <w:r>
        <w:rPr>
          <w:rFonts w:hint="eastAsia" w:ascii="仿宋" w:hAnsi="仿宋" w:eastAsia="仿宋" w:cs="仿宋"/>
          <w:spacing w:val="1"/>
          <w:sz w:val="32"/>
          <w:szCs w:val="32"/>
        </w:rPr>
        <w:t xml:space="preserve"> </w:t>
      </w:r>
      <w:r>
        <w:rPr>
          <w:rFonts w:hint="eastAsia" w:ascii="仿宋" w:hAnsi="仿宋" w:eastAsia="仿宋" w:cs="仿宋"/>
          <w:snapToGrid/>
          <w:kern w:val="2"/>
          <w:sz w:val="32"/>
          <w:szCs w:val="32"/>
        </w:rPr>
        <w:t>基本申请条件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（一）思想品德：热爱社会主义祖国，拥护中国共产党的领导，遵守国家法律法规，遵守学校规章制度，诚实守信，道德品质优良。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（二）课程学习：学习成绩优秀，无课程考核不合格情形；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（三）科学研究：科研能力、创新能力和发展潜力突出。需满足下列条件之一：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1.在本学科领域公开发表有高水平学术论文；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2.主持或主研校级及以上科研项目；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3.获得国家发明专利授权；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4.参加校级及以上学术成果评比、科技竞赛和专业实践竞赛等活动获奖；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5.在科研实践中，对某一研究理论、方法、手段、过程等有创新性突破，明显提高研究效率或进程，获得广泛认可；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6.在科研学术活动或专业实践中有其他突出表现。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（四）综合素质：在社会实践与志愿服务、社会工作、校园文化活动、创新创业、精神文明创建等方面表现突出。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需满足下列条件之一：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 xml:space="preserve">1.积极参加社会实践与志愿服务活动，表现突出的；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2.在党团、班级、社团工作等方面表现突出的研究生干部；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3.积极参加校园文化活动，在各级各类文体竞赛或活动中获奖的；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4.在创新创业活动中表现突出的；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5.积极践行社会主义核心价值观，为学校、社会做出特别贡献或赢得重要荣誉的；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6.有其他突出表现的。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（五）无违反国家法律法规或校规校纪、实验室技术安全管理办法的情形。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（六）无任何违学术道德，学术不端行为。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（七）未参与网络传谣或发表不正当言论，给学校和学院造成严重后果或不良影响。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b/>
          <w:sz w:val="32"/>
          <w:szCs w:val="32"/>
        </w:rPr>
        <w:t>第五条</w:t>
      </w:r>
      <w:r>
        <w:rPr>
          <w:rFonts w:hint="eastAsia" w:ascii="仿宋" w:hAnsi="仿宋" w:eastAsia="仿宋" w:cs="仿宋"/>
          <w:b/>
          <w:bCs/>
          <w:snapToGrid/>
          <w:kern w:val="2"/>
          <w:sz w:val="32"/>
          <w:szCs w:val="32"/>
        </w:rPr>
        <w:t xml:space="preserve"> </w:t>
      </w:r>
      <w:r>
        <w:rPr>
          <w:rFonts w:hint="eastAsia" w:ascii="仿宋" w:hAnsi="仿宋" w:eastAsia="仿宋" w:cs="仿宋"/>
          <w:snapToGrid/>
          <w:kern w:val="2"/>
          <w:sz w:val="32"/>
          <w:szCs w:val="32"/>
        </w:rPr>
        <w:t>研究生不具备当年优秀研究生奖学金参评资格的情况：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（一）不履行公民义务的；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（二）参评学年的学籍状态处于休学、保留学籍的；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（三）超出基本学制年限的；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（四）违反国家法律法规或校规校纪受到处分的；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（五）考核学年有学术不端行为且经查实的；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（六）考核学年课程考核有不合格情形的；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（七）考核学年专业实践考核不合格的；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 xml:space="preserve">（八）考核学年中期考核或学科综合考试不合格的；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76"/>
        <w:jc w:val="both"/>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（九）经认定有其他不适宜获得优秀奖学金情形的。</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第四章 评定规则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88" w:firstLine="466"/>
        <w:textAlignment w:val="baseline"/>
        <w:rPr>
          <w:rFonts w:hint="eastAsia" w:ascii="仿宋" w:hAnsi="仿宋" w:eastAsia="仿宋" w:cs="仿宋"/>
          <w:b/>
          <w:sz w:val="32"/>
          <w:szCs w:val="32"/>
        </w:rPr>
      </w:pPr>
      <w:r>
        <w:rPr>
          <w:rFonts w:hint="eastAsia" w:ascii="仿宋" w:hAnsi="仿宋" w:eastAsia="仿宋" w:cs="仿宋"/>
          <w:b/>
          <w:sz w:val="32"/>
          <w:szCs w:val="32"/>
        </w:rPr>
        <w:t xml:space="preserve">第六条 </w:t>
      </w:r>
      <w:r>
        <w:rPr>
          <w:rFonts w:hint="eastAsia" w:ascii="仿宋" w:hAnsi="仿宋" w:eastAsia="仿宋" w:cs="仿宋"/>
          <w:snapToGrid/>
          <w:kern w:val="2"/>
          <w:sz w:val="32"/>
          <w:szCs w:val="32"/>
        </w:rPr>
        <w:t>评定规则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88" w:firstLine="466"/>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(一)二年级研究生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88" w:firstLine="466"/>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按照符合基本条件申请者的综合考评成绩，根据各年级评选名额，从高到低顺序依次确定。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0" w:right="88" w:firstLine="466"/>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(二)三年级研究生</w:t>
      </w:r>
    </w:p>
    <w:p>
      <w:pPr>
        <w:keepNext w:val="0"/>
        <w:keepLines w:val="0"/>
        <w:pageBreakBefore w:val="0"/>
        <w:widowControl/>
        <w:tabs>
          <w:tab w:val="left" w:pos="3160"/>
          <w:tab w:val="right" w:pos="8388"/>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napToGrid/>
          <w:kern w:val="2"/>
          <w:sz w:val="32"/>
          <w:szCs w:val="32"/>
        </w:rPr>
      </w:pPr>
      <w:r>
        <w:rPr>
          <w:rFonts w:hint="eastAsia" w:ascii="仿宋" w:hAnsi="仿宋" w:eastAsia="仿宋" w:cs="仿宋"/>
          <w:snapToGrid/>
          <w:kern w:val="2"/>
          <w:sz w:val="32"/>
          <w:szCs w:val="32"/>
        </w:rPr>
        <w:t>以研究生综合考评成绩为评审依据，同时兼顾研究生文体活动、社会服务等方面的综合表现，形成总评成绩。根据评选名额，以从高到低顺序依次确定。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8" w:firstLine="640" w:firstLineChars="200"/>
        <w:textAlignment w:val="baseline"/>
        <w:rPr>
          <w:rFonts w:hint="eastAsia" w:ascii="仿宋" w:hAnsi="仿宋" w:eastAsia="仿宋" w:cs="仿宋"/>
          <w:snapToGrid/>
          <w:color w:val="FF0000"/>
          <w:kern w:val="2"/>
          <w:sz w:val="32"/>
          <w:szCs w:val="32"/>
          <w:highlight w:val="none"/>
        </w:rPr>
      </w:pPr>
      <w:r>
        <w:rPr>
          <w:rFonts w:hint="eastAsia" w:ascii="仿宋" w:hAnsi="仿宋" w:eastAsia="仿宋" w:cs="仿宋"/>
          <w:snapToGrid/>
          <w:kern w:val="2"/>
          <w:sz w:val="32"/>
          <w:szCs w:val="32"/>
          <w:highlight w:val="none"/>
        </w:rPr>
        <w:t>三年级：总评成绩=综合考评成绩+（社会服务得分+文体实践活动得分）*20%</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第五章 评选要求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3" w:firstLineChars="200"/>
        <w:jc w:val="both"/>
        <w:textAlignment w:val="baseline"/>
        <w:rPr>
          <w:rFonts w:ascii="仿宋" w:hAnsi="仿宋" w:eastAsia="仿宋" w:cs="仿宋"/>
          <w:snapToGrid/>
          <w:kern w:val="2"/>
          <w:sz w:val="32"/>
          <w:szCs w:val="32"/>
        </w:rPr>
      </w:pPr>
      <w:r>
        <w:rPr>
          <w:rFonts w:hint="eastAsia" w:ascii="仿宋" w:hAnsi="仿宋" w:eastAsia="仿宋" w:cs="仿宋"/>
          <w:b/>
          <w:sz w:val="32"/>
          <w:szCs w:val="32"/>
        </w:rPr>
        <w:t>第七条</w:t>
      </w:r>
      <w:r>
        <w:rPr>
          <w:rFonts w:hint="eastAsia" w:ascii="仿宋" w:hAnsi="仿宋" w:eastAsia="仿宋" w:cs="仿宋"/>
          <w:snapToGrid/>
          <w:kern w:val="2"/>
          <w:sz w:val="32"/>
          <w:szCs w:val="32"/>
        </w:rPr>
        <w:t xml:space="preserve"> 评选要求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0" w:firstLineChars="200"/>
        <w:jc w:val="both"/>
        <w:textAlignment w:val="baseline"/>
        <w:rPr>
          <w:rFonts w:ascii="仿宋" w:hAnsi="仿宋" w:eastAsia="仿宋" w:cs="仿宋"/>
          <w:snapToGrid/>
          <w:kern w:val="2"/>
          <w:sz w:val="32"/>
          <w:szCs w:val="32"/>
        </w:rPr>
      </w:pPr>
      <w:r>
        <w:rPr>
          <w:rFonts w:hint="eastAsia" w:ascii="仿宋" w:hAnsi="仿宋" w:eastAsia="仿宋" w:cs="仿宋"/>
          <w:snapToGrid/>
          <w:kern w:val="2"/>
          <w:sz w:val="32"/>
          <w:szCs w:val="32"/>
        </w:rPr>
        <w:t>（一）评选工作严格遵循“公开、公平、公正”原则，按照“学生申请、导师把关、学院初评、学校审定”程序进行。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0" w:firstLineChars="200"/>
        <w:jc w:val="both"/>
        <w:textAlignment w:val="baseline"/>
        <w:rPr>
          <w:rFonts w:ascii="仿宋" w:hAnsi="仿宋" w:eastAsia="仿宋" w:cs="仿宋"/>
          <w:snapToGrid/>
          <w:kern w:val="2"/>
          <w:sz w:val="32"/>
          <w:szCs w:val="32"/>
        </w:rPr>
      </w:pPr>
      <w:r>
        <w:rPr>
          <w:rFonts w:hint="eastAsia" w:ascii="仿宋" w:hAnsi="仿宋" w:eastAsia="仿宋" w:cs="仿宋"/>
          <w:snapToGrid/>
          <w:kern w:val="2"/>
          <w:sz w:val="32"/>
          <w:szCs w:val="32"/>
        </w:rPr>
        <w:t>（二）一年级研究生不参评优秀研究生奖学金，“3+1+2”研究生</w:t>
      </w:r>
      <w:bookmarkStart w:id="0" w:name="_Hlk115864533"/>
      <w:r>
        <w:rPr>
          <w:rFonts w:hint="eastAsia" w:ascii="仿宋" w:hAnsi="仿宋" w:eastAsia="仿宋" w:cs="仿宋"/>
          <w:snapToGrid/>
          <w:kern w:val="2"/>
          <w:sz w:val="32"/>
          <w:szCs w:val="32"/>
        </w:rPr>
        <w:t>在学号所在年级参评</w:t>
      </w:r>
      <w:bookmarkEnd w:id="0"/>
      <w:r>
        <w:rPr>
          <w:rFonts w:hint="eastAsia" w:ascii="仿宋" w:hAnsi="仿宋" w:eastAsia="仿宋" w:cs="仿宋"/>
          <w:snapToGrid/>
          <w:kern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85" w:firstLine="640" w:firstLineChars="200"/>
        <w:jc w:val="both"/>
        <w:textAlignment w:val="baseline"/>
        <w:rPr>
          <w:rFonts w:ascii="仿宋" w:hAnsi="仿宋" w:eastAsia="仿宋" w:cs="仿宋"/>
          <w:snapToGrid/>
          <w:kern w:val="2"/>
          <w:sz w:val="32"/>
          <w:szCs w:val="32"/>
        </w:rPr>
      </w:pPr>
      <w:r>
        <w:rPr>
          <w:rFonts w:hint="eastAsia" w:ascii="仿宋" w:hAnsi="仿宋" w:eastAsia="仿宋" w:cs="仿宋"/>
          <w:snapToGrid/>
          <w:kern w:val="2"/>
          <w:sz w:val="32"/>
          <w:szCs w:val="32"/>
        </w:rPr>
        <w:t>（三）优秀研究生奖学金，所有材料为上一学年的9月1日起，至评定当年的8月31日止，毕业年级可接受网络见刊。</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第六章 评审程序与组织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napToGrid/>
          <w:kern w:val="2"/>
          <w:sz w:val="32"/>
          <w:szCs w:val="32"/>
        </w:rPr>
      </w:pPr>
      <w:r>
        <w:rPr>
          <w:rFonts w:hint="eastAsia" w:ascii="仿宋" w:hAnsi="仿宋" w:eastAsia="仿宋" w:cs="仿宋"/>
          <w:b/>
          <w:sz w:val="32"/>
          <w:szCs w:val="32"/>
        </w:rPr>
        <w:t xml:space="preserve">第八条 </w:t>
      </w:r>
      <w:r>
        <w:rPr>
          <w:rFonts w:hint="eastAsia" w:ascii="仿宋" w:hAnsi="仿宋" w:eastAsia="仿宋" w:cs="仿宋"/>
          <w:snapToGrid/>
          <w:kern w:val="2"/>
          <w:sz w:val="32"/>
          <w:szCs w:val="32"/>
        </w:rPr>
        <w:t>评审程序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snapToGrid/>
          <w:kern w:val="2"/>
          <w:sz w:val="32"/>
          <w:szCs w:val="32"/>
        </w:rPr>
        <w:t>（一）研究生自主申请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符合条件的研究生填写申请表，经导师签字同意，附上支撑材料，提交申请。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（二）研究生奖助评审小组初审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学院</w:t>
      </w:r>
      <w:r>
        <w:rPr>
          <w:rFonts w:hint="eastAsia" w:ascii="仿宋" w:hAnsi="仿宋" w:eastAsia="仿宋" w:cs="仿宋"/>
          <w:sz w:val="32"/>
          <w:szCs w:val="32"/>
          <w:lang w:bidi="ar"/>
        </w:rPr>
        <w:t>研究生奖助评审小组</w:t>
      </w:r>
      <w:r>
        <w:rPr>
          <w:rFonts w:hint="eastAsia" w:ascii="仿宋" w:hAnsi="仿宋" w:eastAsia="仿宋" w:cs="仿宋"/>
          <w:snapToGrid/>
          <w:kern w:val="2"/>
          <w:sz w:val="32"/>
          <w:szCs w:val="32"/>
        </w:rPr>
        <w:t>对研究生申请资格及材料进行审核，确保申请研究生资格条件、申请材料客观真实。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（三）学院初评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z w:val="32"/>
          <w:szCs w:val="32"/>
          <w:lang w:bidi="ar"/>
        </w:rPr>
        <w:t>研究生奖助评审小组</w:t>
      </w:r>
      <w:r>
        <w:rPr>
          <w:rFonts w:hint="eastAsia" w:ascii="仿宋" w:hAnsi="仿宋" w:eastAsia="仿宋" w:cs="仿宋"/>
          <w:snapToGrid/>
          <w:kern w:val="2"/>
          <w:sz w:val="32"/>
          <w:szCs w:val="32"/>
        </w:rPr>
        <w:t>对提出申请的研究生进行积分和排序，按照从高向低顺序确定优秀奖学金的人选，产生优秀奖学金初评名单，报</w:t>
      </w:r>
      <w:r>
        <w:rPr>
          <w:rFonts w:hint="eastAsia" w:ascii="仿宋" w:hAnsi="仿宋" w:eastAsia="仿宋" w:cs="仿宋"/>
          <w:sz w:val="32"/>
          <w:szCs w:val="32"/>
          <w:lang w:bidi="ar"/>
        </w:rPr>
        <w:t>研究生奖助评审工作</w:t>
      </w:r>
      <w:r>
        <w:rPr>
          <w:rFonts w:hint="eastAsia" w:ascii="仿宋" w:hAnsi="仿宋" w:eastAsia="仿宋" w:cs="仿宋"/>
          <w:snapToGrid/>
          <w:kern w:val="2"/>
          <w:sz w:val="32"/>
          <w:szCs w:val="32"/>
        </w:rPr>
        <w:t>组审核，审核无误后对名单进行公示。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（四）学校审定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学院初评结果公示无异议后上报学校党委研究生工作部，党委研究生工作部对初评结果进行复审，审核无误后报学校研究生奖助学金评审领导小组最终审定并公示。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（五）财务处发放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学校研究生奖助学金评审领导小组审定公示无异议后，由</w:t>
      </w:r>
      <w:bookmarkStart w:id="1" w:name="_Hlk115812909"/>
      <w:r>
        <w:rPr>
          <w:rFonts w:hint="eastAsia" w:ascii="仿宋" w:hAnsi="仿宋" w:eastAsia="仿宋" w:cs="仿宋"/>
          <w:snapToGrid/>
          <w:kern w:val="2"/>
          <w:sz w:val="32"/>
          <w:szCs w:val="32"/>
        </w:rPr>
        <w:t>学校党委研究生工作部报财务处发放奖学金。</w:t>
      </w:r>
      <w:bookmarkEnd w:id="1"/>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 xml:space="preserve">第九条 </w:t>
      </w:r>
      <w:r>
        <w:rPr>
          <w:rFonts w:hint="eastAsia" w:ascii="仿宋" w:hAnsi="仿宋" w:eastAsia="仿宋" w:cs="仿宋"/>
          <w:snapToGrid/>
          <w:kern w:val="2"/>
          <w:sz w:val="32"/>
          <w:szCs w:val="32"/>
        </w:rPr>
        <w:t>组织领导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（一）研究生奖助评审工作组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由学院党政领导、学科点负责人、研究生教学秘书、研究生辅导员组成，负责商议决定每年评优评奖工作过程中出现的争议、每年学业奖学金评定的组织、审核、汇总以及综合考核办法的修订等工作。</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研究生奖助评审小组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kern w:val="2"/>
          <w:sz w:val="32"/>
          <w:szCs w:val="32"/>
        </w:rPr>
      </w:pPr>
      <w:r>
        <w:rPr>
          <w:rFonts w:hint="eastAsia" w:ascii="仿宋" w:hAnsi="仿宋" w:eastAsia="仿宋" w:cs="仿宋"/>
          <w:snapToGrid/>
          <w:kern w:val="2"/>
          <w:sz w:val="32"/>
          <w:szCs w:val="32"/>
        </w:rPr>
        <w:t>由研究生辅导员任组长，班团干部、院研会代表、党支部代表、各年级各专业学生群众代表组成，负责综合测评材料收集、审察、初评等具体工作。</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第</w:t>
      </w:r>
      <w:r>
        <w:rPr>
          <w:rFonts w:hint="eastAsia" w:ascii="黑体" w:hAnsi="黑体" w:eastAsia="黑体" w:cs="黑体"/>
          <w:b/>
          <w:sz w:val="36"/>
          <w:szCs w:val="36"/>
          <w:lang w:val="en-US" w:eastAsia="zh-CN"/>
        </w:rPr>
        <w:t>七</w:t>
      </w:r>
      <w:r>
        <w:rPr>
          <w:rFonts w:hint="eastAsia" w:ascii="黑体" w:hAnsi="黑体" w:eastAsia="黑体" w:cs="黑体"/>
          <w:b/>
          <w:sz w:val="36"/>
          <w:szCs w:val="36"/>
        </w:rPr>
        <w:t>章 附则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napToGrid/>
          <w:kern w:val="2"/>
          <w:sz w:val="32"/>
          <w:szCs w:val="32"/>
        </w:rPr>
      </w:pPr>
      <w:r>
        <w:rPr>
          <w:rFonts w:hint="eastAsia" w:ascii="仿宋" w:hAnsi="仿宋" w:eastAsia="仿宋" w:cs="仿宋"/>
          <w:b/>
          <w:sz w:val="32"/>
          <w:szCs w:val="32"/>
        </w:rPr>
        <w:t xml:space="preserve">第十条 </w:t>
      </w:r>
      <w:r>
        <w:rPr>
          <w:rFonts w:hint="eastAsia" w:ascii="仿宋" w:hAnsi="仿宋" w:eastAsia="仿宋" w:cs="仿宋"/>
          <w:snapToGrid/>
          <w:kern w:val="2"/>
          <w:sz w:val="32"/>
          <w:szCs w:val="32"/>
        </w:rPr>
        <w:t>本办法公示无异议后，在开展评优评奖工作中严格按照细则执行。</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napToGrid/>
          <w:kern w:val="2"/>
          <w:sz w:val="32"/>
          <w:szCs w:val="32"/>
        </w:rPr>
      </w:pPr>
      <w:r>
        <w:rPr>
          <w:rFonts w:hint="eastAsia" w:ascii="仿宋" w:hAnsi="仿宋" w:eastAsia="仿宋" w:cs="仿宋"/>
          <w:b/>
          <w:sz w:val="32"/>
          <w:szCs w:val="32"/>
        </w:rPr>
        <w:t>第十一条</w:t>
      </w:r>
      <w:r>
        <w:rPr>
          <w:rFonts w:hint="eastAsia" w:ascii="仿宋" w:hAnsi="仿宋" w:eastAsia="仿宋" w:cs="仿宋"/>
          <w:b/>
          <w:sz w:val="32"/>
          <w:szCs w:val="32"/>
          <w:lang w:val="en-US" w:eastAsia="zh-CN"/>
        </w:rPr>
        <w:t xml:space="preserve"> </w:t>
      </w:r>
      <w:r>
        <w:rPr>
          <w:rFonts w:hint="eastAsia" w:ascii="仿宋" w:hAnsi="仿宋" w:eastAsia="仿宋" w:cs="仿宋"/>
          <w:snapToGrid/>
          <w:kern w:val="2"/>
          <w:sz w:val="32"/>
          <w:szCs w:val="32"/>
        </w:rPr>
        <w:t>研究生优秀研究生奖学金所有材料应为上一学年的9月1日起，至评定当年的8月31日止。</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napToGrid/>
          <w:kern w:val="2"/>
          <w:sz w:val="32"/>
          <w:szCs w:val="32"/>
        </w:rPr>
      </w:pPr>
      <w:r>
        <w:rPr>
          <w:rFonts w:hint="eastAsia" w:ascii="仿宋" w:hAnsi="仿宋" w:eastAsia="仿宋" w:cs="仿宋"/>
          <w:b/>
          <w:sz w:val="32"/>
          <w:szCs w:val="32"/>
        </w:rPr>
        <w:t xml:space="preserve">第十二条 </w:t>
      </w:r>
      <w:r>
        <w:rPr>
          <w:rFonts w:hint="eastAsia" w:ascii="仿宋" w:hAnsi="仿宋" w:eastAsia="仿宋" w:cs="仿宋"/>
          <w:snapToGrid/>
          <w:kern w:val="2"/>
          <w:sz w:val="32"/>
          <w:szCs w:val="32"/>
        </w:rPr>
        <w:t>本办法的解释权归学院研究生评优评奖工作组所有。如有异议或上述未列入、但能反映研究生个人综合素质或水平的项目，学生可提出意见与建议（或提供相关证明材料）后，作为下次文件修订的参考。</w:t>
      </w:r>
    </w:p>
    <w:p>
      <w:pPr>
        <w:spacing w:before="107" w:line="360" w:lineRule="auto"/>
        <w:ind w:right="57"/>
        <w:jc w:val="right"/>
        <w:rPr>
          <w:rFonts w:ascii="仿宋" w:hAnsi="仿宋" w:eastAsia="仿宋" w:cs="仿宋"/>
          <w:color w:val="auto"/>
          <w:spacing w:val="-4"/>
          <w:sz w:val="24"/>
          <w:szCs w:val="24"/>
        </w:rPr>
      </w:pPr>
    </w:p>
    <w:p>
      <w:pPr>
        <w:widowControl/>
        <w:ind w:firstLine="464" w:firstLineChars="200"/>
        <w:jc w:val="right"/>
        <w:rPr>
          <w:rFonts w:ascii="仿宋" w:hAnsi="仿宋" w:eastAsia="仿宋" w:cs="仿宋"/>
          <w:color w:val="000000"/>
          <w:kern w:val="0"/>
          <w:sz w:val="31"/>
          <w:szCs w:val="31"/>
          <w:lang w:bidi="ar"/>
        </w:rPr>
      </w:pPr>
      <w:r>
        <w:rPr>
          <w:rFonts w:hint="eastAsia" w:ascii="仿宋" w:hAnsi="仿宋" w:eastAsia="仿宋" w:cs="仿宋"/>
          <w:color w:val="auto"/>
          <w:spacing w:val="-4"/>
          <w:sz w:val="24"/>
          <w:szCs w:val="24"/>
        </w:rPr>
        <w:t xml:space="preserve">                                          </w:t>
      </w:r>
      <w:r>
        <w:rPr>
          <w:rFonts w:hint="eastAsia" w:ascii="仿宋" w:hAnsi="仿宋" w:eastAsia="仿宋" w:cs="仿宋"/>
          <w:color w:val="000000"/>
          <w:kern w:val="0"/>
          <w:sz w:val="31"/>
          <w:szCs w:val="31"/>
          <w:lang w:bidi="ar"/>
        </w:rPr>
        <w:t>西南大学园艺园林学院</w:t>
      </w:r>
    </w:p>
    <w:p>
      <w:pPr>
        <w:widowControl/>
        <w:ind w:firstLine="620" w:firstLineChars="200"/>
        <w:jc w:val="right"/>
        <w:rPr>
          <w:rFonts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二〇二三年四月二十三日</w:t>
      </w:r>
    </w:p>
    <w:p>
      <w:pPr>
        <w:spacing w:before="124" w:line="360" w:lineRule="auto"/>
        <w:ind w:right="88" w:firstLine="4800" w:firstLineChars="1500"/>
        <w:rPr>
          <w:rFonts w:ascii="仿宋" w:hAnsi="仿宋" w:eastAsia="仿宋" w:cs="仿宋"/>
          <w:snapToGrid/>
          <w:kern w:val="2"/>
          <w:sz w:val="32"/>
          <w:szCs w:val="32"/>
        </w:rPr>
      </w:pPr>
    </w:p>
    <w:p>
      <w:pPr>
        <w:spacing w:line="360" w:lineRule="auto"/>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49B369"/>
    <w:multiLevelType w:val="singleLevel"/>
    <w:tmpl w:val="1349B369"/>
    <w:lvl w:ilvl="0" w:tentative="0">
      <w:start w:val="3"/>
      <w:numFmt w:val="chineseCounting"/>
      <w:suff w:val="space"/>
      <w:lvlText w:val="第%1条"/>
      <w:lvlJc w:val="left"/>
      <w:rPr>
        <w:rFonts w:hint="eastAsia"/>
      </w:rPr>
    </w:lvl>
  </w:abstractNum>
  <w:abstractNum w:abstractNumId="1">
    <w:nsid w:val="6F14718E"/>
    <w:multiLevelType w:val="singleLevel"/>
    <w:tmpl w:val="6F1471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MGZkNjY0OWM2NTlkYTU3OWNkYjIwNzAzOGY2ZmYifQ=="/>
  </w:docVars>
  <w:rsids>
    <w:rsidRoot w:val="33801C24"/>
    <w:rsid w:val="00041F4D"/>
    <w:rsid w:val="00072C34"/>
    <w:rsid w:val="000D79EB"/>
    <w:rsid w:val="002F59E8"/>
    <w:rsid w:val="006E4DBB"/>
    <w:rsid w:val="007A2413"/>
    <w:rsid w:val="007D5361"/>
    <w:rsid w:val="007D5B27"/>
    <w:rsid w:val="00805B09"/>
    <w:rsid w:val="008C14A2"/>
    <w:rsid w:val="00990555"/>
    <w:rsid w:val="00B414DA"/>
    <w:rsid w:val="00D55EDF"/>
    <w:rsid w:val="00DB0631"/>
    <w:rsid w:val="00E87367"/>
    <w:rsid w:val="00F43F1D"/>
    <w:rsid w:val="00FD20ED"/>
    <w:rsid w:val="028B2137"/>
    <w:rsid w:val="07FD6DF7"/>
    <w:rsid w:val="0AD41965"/>
    <w:rsid w:val="0CB16402"/>
    <w:rsid w:val="0D004C93"/>
    <w:rsid w:val="14B44CE1"/>
    <w:rsid w:val="18512847"/>
    <w:rsid w:val="18674DBA"/>
    <w:rsid w:val="1BBB6955"/>
    <w:rsid w:val="1E285DF8"/>
    <w:rsid w:val="22721D38"/>
    <w:rsid w:val="249E5066"/>
    <w:rsid w:val="24B52569"/>
    <w:rsid w:val="27FA6A57"/>
    <w:rsid w:val="292A511A"/>
    <w:rsid w:val="2B847D91"/>
    <w:rsid w:val="2DC378EB"/>
    <w:rsid w:val="2F762CBD"/>
    <w:rsid w:val="30161F54"/>
    <w:rsid w:val="30316D8E"/>
    <w:rsid w:val="31524549"/>
    <w:rsid w:val="316E7B6E"/>
    <w:rsid w:val="33801C24"/>
    <w:rsid w:val="36A75FFC"/>
    <w:rsid w:val="37FA215C"/>
    <w:rsid w:val="43364990"/>
    <w:rsid w:val="436A63E7"/>
    <w:rsid w:val="44735770"/>
    <w:rsid w:val="46B856BC"/>
    <w:rsid w:val="4D2E492A"/>
    <w:rsid w:val="4FDA0983"/>
    <w:rsid w:val="50B25872"/>
    <w:rsid w:val="53057EDB"/>
    <w:rsid w:val="532E7431"/>
    <w:rsid w:val="554C0043"/>
    <w:rsid w:val="55E42029"/>
    <w:rsid w:val="56CB4F97"/>
    <w:rsid w:val="57B974E6"/>
    <w:rsid w:val="5D83037A"/>
    <w:rsid w:val="5FFE1F39"/>
    <w:rsid w:val="677B0314"/>
    <w:rsid w:val="67A4786A"/>
    <w:rsid w:val="683044A4"/>
    <w:rsid w:val="6BFB5EC7"/>
    <w:rsid w:val="6E1A6AD8"/>
    <w:rsid w:val="6EAB14DE"/>
    <w:rsid w:val="75061D23"/>
    <w:rsid w:val="773F135E"/>
    <w:rsid w:val="7AEA15E0"/>
    <w:rsid w:val="7CED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qFormat/>
    <w:uiPriority w:val="0"/>
    <w:rPr>
      <w:rFonts w:ascii="Arial" w:hAnsi="Arial" w:eastAsia="Arial" w:cs="Arial"/>
      <w:snapToGrid w:val="0"/>
      <w:color w:val="000000"/>
      <w:sz w:val="18"/>
      <w:szCs w:val="18"/>
    </w:rPr>
  </w:style>
  <w:style w:type="paragraph" w:styleId="8">
    <w:name w:val="List Paragraph"/>
    <w:basedOn w:val="1"/>
    <w:qFormat/>
    <w:uiPriority w:val="99"/>
    <w:pPr>
      <w:ind w:firstLine="420" w:firstLineChars="200"/>
    </w:pPr>
  </w:style>
  <w:style w:type="paragraph" w:customStyle="1" w:styleId="9">
    <w:name w:val="Revision"/>
    <w:hidden/>
    <w:semiHidden/>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2326</Words>
  <Characters>2361</Characters>
  <Lines>17</Lines>
  <Paragraphs>5</Paragraphs>
  <TotalTime>9</TotalTime>
  <ScaleCrop>false</ScaleCrop>
  <LinksUpToDate>false</LinksUpToDate>
  <CharactersWithSpaces>2425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2023-04-27T11:24:00Z</dcterms:created>
  <dc:creator>Lenovo</dc:creator>
  <cp:lastModifiedBy>Lenovo</cp:lastModifiedBy>
  <dcterms:modified xsi:type="dcterms:W3CDTF">2023-05-08T10:25:31Z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EA336C8780E248FDBB9039E8D565362E_13</vt:lpwstr>
  </property>
</Properties>
</file>